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0B" w:rsidRDefault="0030420B">
      <w:pPr>
        <w:rPr>
          <w:rFonts w:hint="eastAsia"/>
        </w:rPr>
      </w:pPr>
    </w:p>
    <w:p w:rsidR="005E428E" w:rsidRPr="005E428E" w:rsidRDefault="005E428E" w:rsidP="005E428E">
      <w:pPr>
        <w:pStyle w:val="a6"/>
        <w:shd w:val="clear" w:color="auto" w:fill="FAFAFA"/>
        <w:spacing w:before="0" w:beforeAutospacing="0" w:after="450" w:afterAutospacing="0"/>
        <w:ind w:firstLine="361"/>
        <w:jc w:val="center"/>
        <w:rPr>
          <w:rFonts w:ascii="Tahoma" w:hAnsi="Tahoma" w:cs="Tahoma"/>
          <w:color w:val="FF0000"/>
          <w:sz w:val="28"/>
          <w:szCs w:val="28"/>
        </w:rPr>
      </w:pPr>
      <w:r>
        <w:rPr>
          <w:rStyle w:val="a5"/>
          <w:rFonts w:ascii="Tahoma" w:hAnsi="Tahoma" w:cs="Tahoma" w:hint="eastAsia"/>
          <w:color w:val="FF0000"/>
          <w:sz w:val="28"/>
          <w:szCs w:val="28"/>
        </w:rPr>
        <w:t xml:space="preserve"> </w:t>
      </w:r>
      <w:r w:rsidRPr="005E428E">
        <w:rPr>
          <w:rStyle w:val="a5"/>
          <w:rFonts w:ascii="Tahoma" w:hAnsi="Tahoma" w:cs="Tahoma"/>
          <w:color w:val="FF0000"/>
          <w:sz w:val="28"/>
          <w:szCs w:val="28"/>
        </w:rPr>
        <w:t>浙江省高级人民法院关于适用小额诉讼程序审理民事案件相关问题的意见</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根据修改后民事诉讼法第一百六十二条规定，现就适用小额诉讼程序审理民事案件的相关问题提出以下意见：</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第一条事实清楚、权利义务关系明确、争议不大的单一金钱给付之诉，标的额低于当年公布的小额诉讼案件标的限额标准的民事案件，适用小额诉讼程序。</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第二条小额诉讼案件诉讼标的限额由浙江省高级人民法院根据法律规定的标准每年定期发布。</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2013</w:t>
      </w:r>
      <w:r>
        <w:rPr>
          <w:rFonts w:ascii="Tahoma" w:hAnsi="Tahoma" w:cs="Tahoma"/>
          <w:color w:val="333333"/>
        </w:rPr>
        <w:t>年</w:t>
      </w:r>
      <w:r>
        <w:rPr>
          <w:rFonts w:ascii="Tahoma" w:hAnsi="Tahoma" w:cs="Tahoma"/>
          <w:color w:val="333333"/>
        </w:rPr>
        <w:t>1</w:t>
      </w:r>
      <w:r>
        <w:rPr>
          <w:rFonts w:ascii="Tahoma" w:hAnsi="Tahoma" w:cs="Tahoma"/>
          <w:color w:val="333333"/>
        </w:rPr>
        <w:t>月</w:t>
      </w:r>
      <w:r>
        <w:rPr>
          <w:rFonts w:ascii="Tahoma" w:hAnsi="Tahoma" w:cs="Tahoma"/>
          <w:color w:val="333333"/>
        </w:rPr>
        <w:t>1</w:t>
      </w:r>
      <w:r>
        <w:rPr>
          <w:rFonts w:ascii="Tahoma" w:hAnsi="Tahoma" w:cs="Tahoma"/>
          <w:color w:val="333333"/>
        </w:rPr>
        <w:t>日至浙江省高级人民法院发布</w:t>
      </w:r>
      <w:r>
        <w:rPr>
          <w:rFonts w:ascii="Tahoma" w:hAnsi="Tahoma" w:cs="Tahoma"/>
          <w:color w:val="333333"/>
        </w:rPr>
        <w:t>2013</w:t>
      </w:r>
      <w:r>
        <w:rPr>
          <w:rFonts w:ascii="Tahoma" w:hAnsi="Tahoma" w:cs="Tahoma"/>
          <w:color w:val="333333"/>
        </w:rPr>
        <w:t>年小额诉讼案件标的限额前，本省适用小额诉讼程序审理的民事案件标的额不得超过人民币</w:t>
      </w:r>
      <w:r>
        <w:rPr>
          <w:rFonts w:ascii="Tahoma" w:hAnsi="Tahoma" w:cs="Tahoma"/>
          <w:color w:val="333333"/>
        </w:rPr>
        <w:t>14000</w:t>
      </w:r>
      <w:r>
        <w:rPr>
          <w:rFonts w:ascii="Tahoma" w:hAnsi="Tahoma" w:cs="Tahoma"/>
          <w:color w:val="333333"/>
        </w:rPr>
        <w:t>元。</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第三条以下案件适用小额诉讼程序审理：</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(1)</w:t>
      </w:r>
      <w:r>
        <w:rPr>
          <w:rFonts w:ascii="Tahoma" w:hAnsi="Tahoma" w:cs="Tahoma"/>
          <w:color w:val="333333"/>
        </w:rPr>
        <w:t>买卖</w:t>
      </w:r>
      <w:hyperlink r:id="rId4" w:tgtFrame="_blank" w:tooltip="合同纠纷" w:history="1">
        <w:r>
          <w:rPr>
            <w:rStyle w:val="a7"/>
            <w:rFonts w:ascii="Tahoma" w:hAnsi="Tahoma" w:cs="Tahoma"/>
          </w:rPr>
          <w:t>合同纠纷</w:t>
        </w:r>
      </w:hyperlink>
      <w:r>
        <w:rPr>
          <w:rFonts w:ascii="Tahoma" w:hAnsi="Tahoma" w:cs="Tahoma"/>
          <w:color w:val="333333"/>
        </w:rPr>
        <w:t>、</w:t>
      </w:r>
      <w:hyperlink r:id="rId5" w:tgtFrame="_blank" w:tooltip="借款合同" w:history="1">
        <w:r>
          <w:rPr>
            <w:rStyle w:val="a7"/>
            <w:rFonts w:ascii="Tahoma" w:hAnsi="Tahoma" w:cs="Tahoma"/>
          </w:rPr>
          <w:t>借款合同</w:t>
        </w:r>
      </w:hyperlink>
      <w:r>
        <w:rPr>
          <w:rFonts w:ascii="Tahoma" w:hAnsi="Tahoma" w:cs="Tahoma"/>
          <w:color w:val="333333"/>
        </w:rPr>
        <w:t>纠纷、租赁合同纠纷和服务合同纠纷案件</w:t>
      </w:r>
      <w:r>
        <w:rPr>
          <w:rFonts w:ascii="Tahoma" w:hAnsi="Tahoma" w:cs="Tahoma"/>
          <w:color w:val="333333"/>
        </w:rPr>
        <w:t>;</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(2)</w:t>
      </w:r>
      <w:r>
        <w:rPr>
          <w:rFonts w:ascii="Tahoma" w:hAnsi="Tahoma" w:cs="Tahoma"/>
          <w:color w:val="333333"/>
        </w:rPr>
        <w:t>身份关系清楚，仅在给付的数额、时间上存在争议的</w:t>
      </w:r>
      <w:hyperlink r:id="rId6" w:tgtFrame="_blank" w:tooltip="抚养费" w:history="1">
        <w:r>
          <w:rPr>
            <w:rStyle w:val="a7"/>
            <w:rFonts w:ascii="Tahoma" w:hAnsi="Tahoma" w:cs="Tahoma"/>
          </w:rPr>
          <w:t>抚养费</w:t>
        </w:r>
      </w:hyperlink>
      <w:r>
        <w:rPr>
          <w:rFonts w:ascii="Tahoma" w:hAnsi="Tahoma" w:cs="Tahoma"/>
          <w:color w:val="333333"/>
        </w:rPr>
        <w:t>、</w:t>
      </w:r>
      <w:hyperlink r:id="rId7" w:tgtFrame="_blank" w:tooltip="赡养费" w:history="1">
        <w:r>
          <w:rPr>
            <w:rStyle w:val="a7"/>
            <w:rFonts w:ascii="Tahoma" w:hAnsi="Tahoma" w:cs="Tahoma"/>
          </w:rPr>
          <w:t>赡养费</w:t>
        </w:r>
      </w:hyperlink>
      <w:r>
        <w:rPr>
          <w:rFonts w:ascii="Tahoma" w:hAnsi="Tahoma" w:cs="Tahoma"/>
          <w:color w:val="333333"/>
        </w:rPr>
        <w:t>、</w:t>
      </w:r>
      <w:hyperlink r:id="rId8" w:tgtFrame="_blank" w:tooltip="扶养" w:history="1">
        <w:r>
          <w:rPr>
            <w:rStyle w:val="a7"/>
            <w:rFonts w:ascii="Tahoma" w:hAnsi="Tahoma" w:cs="Tahoma"/>
          </w:rPr>
          <w:t>扶养</w:t>
        </w:r>
      </w:hyperlink>
      <w:r>
        <w:rPr>
          <w:rFonts w:ascii="Tahoma" w:hAnsi="Tahoma" w:cs="Tahoma"/>
          <w:color w:val="333333"/>
        </w:rPr>
        <w:t>费纠纷案件</w:t>
      </w:r>
      <w:r>
        <w:rPr>
          <w:rFonts w:ascii="Tahoma" w:hAnsi="Tahoma" w:cs="Tahoma"/>
          <w:color w:val="333333"/>
        </w:rPr>
        <w:t>;</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(3)</w:t>
      </w:r>
      <w:r>
        <w:rPr>
          <w:rFonts w:ascii="Tahoma" w:hAnsi="Tahoma" w:cs="Tahoma"/>
          <w:color w:val="333333"/>
        </w:rPr>
        <w:t>道路</w:t>
      </w:r>
      <w:hyperlink r:id="rId9" w:tgtFrame="_blank" w:tooltip="交通事故" w:history="1">
        <w:r>
          <w:rPr>
            <w:rStyle w:val="a7"/>
            <w:rFonts w:ascii="Tahoma" w:hAnsi="Tahoma" w:cs="Tahoma"/>
          </w:rPr>
          <w:t>交通事故</w:t>
        </w:r>
      </w:hyperlink>
      <w:r>
        <w:rPr>
          <w:rFonts w:ascii="Tahoma" w:hAnsi="Tahoma" w:cs="Tahoma"/>
          <w:color w:val="333333"/>
        </w:rPr>
        <w:t>损害赔偿和其他</w:t>
      </w:r>
      <w:hyperlink r:id="rId10" w:tgtFrame="_blank" w:tooltip="人身损害赔偿" w:history="1">
        <w:r>
          <w:rPr>
            <w:rStyle w:val="a7"/>
            <w:rFonts w:ascii="Tahoma" w:hAnsi="Tahoma" w:cs="Tahoma"/>
          </w:rPr>
          <w:t>人身损害赔偿</w:t>
        </w:r>
      </w:hyperlink>
      <w:r>
        <w:rPr>
          <w:rFonts w:ascii="Tahoma" w:hAnsi="Tahoma" w:cs="Tahoma"/>
          <w:color w:val="333333"/>
        </w:rPr>
        <w:t>纠纷案件</w:t>
      </w:r>
      <w:r>
        <w:rPr>
          <w:rFonts w:ascii="Tahoma" w:hAnsi="Tahoma" w:cs="Tahoma"/>
          <w:color w:val="333333"/>
        </w:rPr>
        <w:t>;</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(4)</w:t>
      </w:r>
      <w:r>
        <w:rPr>
          <w:rFonts w:ascii="Tahoma" w:hAnsi="Tahoma" w:cs="Tahoma"/>
          <w:color w:val="333333"/>
        </w:rPr>
        <w:t>劳动关系清楚，仅在劳动报酬、工伤医疗费、经济补偿金或者</w:t>
      </w:r>
      <w:hyperlink r:id="rId11" w:tgtFrame="_blank" w:tooltip="赔偿金" w:history="1">
        <w:r>
          <w:rPr>
            <w:rStyle w:val="a7"/>
            <w:rFonts w:ascii="Tahoma" w:hAnsi="Tahoma" w:cs="Tahoma"/>
          </w:rPr>
          <w:t>赔偿金</w:t>
        </w:r>
      </w:hyperlink>
      <w:r>
        <w:rPr>
          <w:rFonts w:ascii="Tahoma" w:hAnsi="Tahoma" w:cs="Tahoma"/>
          <w:color w:val="333333"/>
        </w:rPr>
        <w:t>的给付数额和给付时间上存在争议的劳动纠纷案件</w:t>
      </w:r>
      <w:r>
        <w:rPr>
          <w:rFonts w:ascii="Tahoma" w:hAnsi="Tahoma" w:cs="Tahoma"/>
          <w:color w:val="333333"/>
        </w:rPr>
        <w:t>;</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(5)</w:t>
      </w:r>
      <w:r>
        <w:rPr>
          <w:rFonts w:ascii="Tahoma" w:hAnsi="Tahoma" w:cs="Tahoma"/>
          <w:color w:val="333333"/>
        </w:rPr>
        <w:t>劳务关系清楚，仅在劳务报酬的给付数额和给付时间上存在争议的劳务纠纷案件</w:t>
      </w:r>
      <w:r>
        <w:rPr>
          <w:rFonts w:ascii="Tahoma" w:hAnsi="Tahoma" w:cs="Tahoma"/>
          <w:color w:val="333333"/>
        </w:rPr>
        <w:t>;</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(6)</w:t>
      </w:r>
      <w:r>
        <w:rPr>
          <w:rFonts w:ascii="Tahoma" w:hAnsi="Tahoma" w:cs="Tahoma"/>
          <w:color w:val="333333"/>
        </w:rPr>
        <w:t>其他事实清楚、权利义务关系明确的金钱给付案件。</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海事法院依据海事诉讼特别程序法第九十八条规定审理的简单海事案件，符合本意见第一条规定的，可以适用小额诉讼程序审理。</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lastRenderedPageBreak/>
        <w:t>第四条以下案件不适用小额诉讼程序：</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(1)</w:t>
      </w:r>
      <w:r>
        <w:rPr>
          <w:rFonts w:ascii="Tahoma" w:hAnsi="Tahoma" w:cs="Tahoma"/>
          <w:color w:val="333333"/>
        </w:rPr>
        <w:t>起诉时被告下落不明，适用公告送达的案件</w:t>
      </w:r>
      <w:r>
        <w:rPr>
          <w:rFonts w:ascii="Tahoma" w:hAnsi="Tahoma" w:cs="Tahoma"/>
          <w:color w:val="333333"/>
        </w:rPr>
        <w:t>;</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(2)</w:t>
      </w:r>
      <w:r>
        <w:rPr>
          <w:rFonts w:ascii="Tahoma" w:hAnsi="Tahoma" w:cs="Tahoma"/>
          <w:color w:val="333333"/>
        </w:rPr>
        <w:t>追加、变更当事人或被告提起反诉后不符合小额诉讼程序适用条件的案件</w:t>
      </w:r>
      <w:r>
        <w:rPr>
          <w:rFonts w:ascii="Tahoma" w:hAnsi="Tahoma" w:cs="Tahoma"/>
          <w:color w:val="333333"/>
        </w:rPr>
        <w:t>;</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(3)</w:t>
      </w:r>
      <w:r>
        <w:rPr>
          <w:rFonts w:ascii="Tahoma" w:hAnsi="Tahoma" w:cs="Tahoma"/>
          <w:color w:val="333333"/>
        </w:rPr>
        <w:t>当事人追加、变更诉讼请求后不符合小额诉讼程序适用条件的案件</w:t>
      </w:r>
      <w:r>
        <w:rPr>
          <w:rFonts w:ascii="Tahoma" w:hAnsi="Tahoma" w:cs="Tahoma"/>
          <w:color w:val="333333"/>
        </w:rPr>
        <w:t>;</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(4)</w:t>
      </w:r>
      <w:r>
        <w:rPr>
          <w:rFonts w:ascii="Tahoma" w:hAnsi="Tahoma" w:cs="Tahoma"/>
          <w:color w:val="333333"/>
        </w:rPr>
        <w:t>涉及人身关系争议、财产确权争议的案件</w:t>
      </w:r>
      <w:r>
        <w:rPr>
          <w:rFonts w:ascii="Tahoma" w:hAnsi="Tahoma" w:cs="Tahoma"/>
          <w:color w:val="333333"/>
        </w:rPr>
        <w:t>;</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(5)</w:t>
      </w:r>
      <w:r>
        <w:rPr>
          <w:rFonts w:ascii="Tahoma" w:hAnsi="Tahoma" w:cs="Tahoma"/>
          <w:color w:val="333333"/>
        </w:rPr>
        <w:t>可能涉及评估、鉴定的案件</w:t>
      </w:r>
      <w:r>
        <w:rPr>
          <w:rFonts w:ascii="Tahoma" w:hAnsi="Tahoma" w:cs="Tahoma"/>
          <w:color w:val="333333"/>
        </w:rPr>
        <w:t>;</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(6)</w:t>
      </w:r>
      <w:r>
        <w:rPr>
          <w:rFonts w:ascii="Tahoma" w:hAnsi="Tahoma" w:cs="Tahoma"/>
          <w:color w:val="333333"/>
        </w:rPr>
        <w:t>其他不宜适用小额诉讼程序审理的案件。</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第五条对符合适用小额诉讼程序其他条件，但案件标的额在规定标准以上、</w:t>
      </w:r>
      <w:r>
        <w:rPr>
          <w:rFonts w:ascii="Tahoma" w:hAnsi="Tahoma" w:cs="Tahoma"/>
          <w:color w:val="333333"/>
        </w:rPr>
        <w:t>10</w:t>
      </w:r>
      <w:r>
        <w:rPr>
          <w:rFonts w:ascii="Tahoma" w:hAnsi="Tahoma" w:cs="Tahoma"/>
          <w:color w:val="333333"/>
        </w:rPr>
        <w:t>万元以下的案件，开庭审理前经双方当事人同意，可以适用小额诉讼程序审理。</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第六条小额诉讼案件原告可以口头起诉，由人民法院记入笔录且由原告签字确认，并告知对方当事人。</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当事人双方可以同时到基层人民法院或其派出的人民法庭，请求解决纠纷。基层人民法院或其派出的人民法庭可以当即开庭审理。</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第七条小额诉讼案件不单独编立案号，但应在案件流程管理信息系统的案件适用程序选项中勾选</w:t>
      </w:r>
      <w:r>
        <w:rPr>
          <w:rFonts w:ascii="Tahoma" w:hAnsi="Tahoma" w:cs="Tahoma"/>
          <w:color w:val="333333"/>
        </w:rPr>
        <w:t>“</w:t>
      </w:r>
      <w:r>
        <w:rPr>
          <w:rFonts w:ascii="Tahoma" w:hAnsi="Tahoma" w:cs="Tahoma"/>
          <w:color w:val="333333"/>
        </w:rPr>
        <w:t>小额诉讼程序</w:t>
      </w:r>
      <w:r>
        <w:rPr>
          <w:rFonts w:ascii="Tahoma" w:hAnsi="Tahoma" w:cs="Tahoma"/>
          <w:color w:val="333333"/>
        </w:rPr>
        <w:t>”</w:t>
      </w:r>
      <w:r>
        <w:rPr>
          <w:rFonts w:ascii="Tahoma" w:hAnsi="Tahoma" w:cs="Tahoma"/>
          <w:color w:val="333333"/>
        </w:rPr>
        <w:t>。</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第八条在向当事人送达受理案件通知书或者应诉通知书时应明确告知本案适用小额诉讼程序审理，并送达《小额诉讼须知》。</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第九条当事人对适用小额诉讼程序提出异议，经审查异议成立的，按照一般简易程序审理或转为普通程序审理</w:t>
      </w:r>
      <w:r>
        <w:rPr>
          <w:rFonts w:ascii="Tahoma" w:hAnsi="Tahoma" w:cs="Tahoma"/>
          <w:color w:val="333333"/>
        </w:rPr>
        <w:t>;</w:t>
      </w:r>
      <w:r>
        <w:rPr>
          <w:rFonts w:ascii="Tahoma" w:hAnsi="Tahoma" w:cs="Tahoma"/>
          <w:color w:val="333333"/>
        </w:rPr>
        <w:t>异议不成立的，驳回当事人的异议申请，并将驳回理由记入笔录或裁判文书。</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第十条经充分释明后，当事人明确表示放弃答辩期和举证期限的，可以当即开庭审理。</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lastRenderedPageBreak/>
        <w:t>当事人明确表示不放弃答辩期或举证期限的，由当事人约定或者人民法院指定，但答辩期一般不超过</w:t>
      </w:r>
      <w:r>
        <w:rPr>
          <w:rFonts w:ascii="Tahoma" w:hAnsi="Tahoma" w:cs="Tahoma"/>
          <w:color w:val="333333"/>
        </w:rPr>
        <w:t>7</w:t>
      </w:r>
      <w:r>
        <w:rPr>
          <w:rFonts w:ascii="Tahoma" w:hAnsi="Tahoma" w:cs="Tahoma"/>
          <w:color w:val="333333"/>
        </w:rPr>
        <w:t>日，举证期限一般不超过</w:t>
      </w:r>
      <w:r>
        <w:rPr>
          <w:rFonts w:ascii="Tahoma" w:hAnsi="Tahoma" w:cs="Tahoma"/>
          <w:color w:val="333333"/>
        </w:rPr>
        <w:t>10</w:t>
      </w:r>
      <w:r>
        <w:rPr>
          <w:rFonts w:ascii="Tahoma" w:hAnsi="Tahoma" w:cs="Tahoma"/>
          <w:color w:val="333333"/>
        </w:rPr>
        <w:t>日。</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第十一条可以用简便方式传唤当事人和通知证人出庭作证，但应当在案卷中记明。经人民法院许可，证人可以通过书面证言、视听传输技术或者视听资料等方式作证。</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第十二条公开开庭审理的，可以不在开庭三日前公告当事人姓名、案由和开庭时间、地点。</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小额诉讼案件庭审可以适当简化，不受法庭调查、法庭辩论、最后陈述及法庭调解的顺序限制，但应当保障当事人陈述意见的权利，并加强对当事人的诉讼指导。</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第十三条经传唤，当事人无正当理由拒不到庭，或者未经法庭许可中途退庭的，不影响适用小额诉讼程序。</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第十四条小额诉讼案件视情可在法庭、当事人住所、居所或工作场所等地点开庭审理。</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第十五条立案后可以委托人民调解组织调解，也可以在庭前、庭审、庭后等环节组织当事人调解。但调解不成或者当事人明确拒绝调解的，应当及时作出裁判。</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调解达成协议并经审判人员审核后，双方当事人同意该调解协议经双方签名或者捺印生效的，该调解协议自双方签名或者捺印之日起发生法律效力。调解结案的小额诉讼案件可不制作调解书，但应当将调解笔录复印件加盖原件核对章后交由当事人保存。</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第十六条应当严格控制小额诉讼程序向其他程序转换。审理过程中发现确不符合小额诉讼程序适用条件的，经批准可以向其他程序转换。转为一般简易程序审理的，应当明确告知当事人</w:t>
      </w:r>
      <w:r>
        <w:rPr>
          <w:rFonts w:ascii="Tahoma" w:hAnsi="Tahoma" w:cs="Tahoma"/>
          <w:color w:val="333333"/>
        </w:rPr>
        <w:t>;</w:t>
      </w:r>
      <w:r>
        <w:rPr>
          <w:rFonts w:ascii="Tahoma" w:hAnsi="Tahoma" w:cs="Tahoma"/>
          <w:color w:val="333333"/>
        </w:rPr>
        <w:t>转为普通程序审理的，应当根据民事诉讼法第一百六十三条规定制作裁定书。</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第十七条小额诉讼案件裁判文书可以仅记明当事人信息、案件事实要点、裁判主要理由、给付金额及履行期限等内容。</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第十八条小额诉讼案件一般应当在立案之日起一个月内审结。一个月内不能审结的，经批准可以延长至三个月。</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lastRenderedPageBreak/>
        <w:t>第十九条人民法庭审理的小额诉讼案件，一般应当由该人民法庭执行。</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第二十条小额诉讼案件当事人对已经发生法律效力的判决、裁定，可以依法申请再审。</w:t>
      </w:r>
    </w:p>
    <w:p w:rsidR="005E428E" w:rsidRDefault="005E428E" w:rsidP="005E428E">
      <w:pPr>
        <w:pStyle w:val="a6"/>
        <w:shd w:val="clear" w:color="auto" w:fill="FAFAFA"/>
        <w:spacing w:before="0" w:beforeAutospacing="0" w:after="450" w:afterAutospacing="0"/>
        <w:ind w:firstLine="480"/>
        <w:rPr>
          <w:rFonts w:ascii="Tahoma" w:hAnsi="Tahoma" w:cs="Tahoma"/>
          <w:color w:val="333333"/>
        </w:rPr>
      </w:pPr>
      <w:r>
        <w:rPr>
          <w:rFonts w:ascii="Tahoma" w:hAnsi="Tahoma" w:cs="Tahoma"/>
          <w:color w:val="333333"/>
        </w:rPr>
        <w:t>第二十一条</w:t>
      </w:r>
      <w:r>
        <w:rPr>
          <w:rFonts w:ascii="Tahoma" w:hAnsi="Tahoma" w:cs="Tahoma"/>
          <w:color w:val="333333"/>
        </w:rPr>
        <w:t>2013</w:t>
      </w:r>
      <w:r>
        <w:rPr>
          <w:rFonts w:ascii="Tahoma" w:hAnsi="Tahoma" w:cs="Tahoma"/>
          <w:color w:val="333333"/>
        </w:rPr>
        <w:t>年</w:t>
      </w:r>
      <w:r>
        <w:rPr>
          <w:rFonts w:ascii="Tahoma" w:hAnsi="Tahoma" w:cs="Tahoma"/>
          <w:color w:val="333333"/>
        </w:rPr>
        <w:t>1</w:t>
      </w:r>
      <w:r>
        <w:rPr>
          <w:rFonts w:ascii="Tahoma" w:hAnsi="Tahoma" w:cs="Tahoma"/>
          <w:color w:val="333333"/>
        </w:rPr>
        <w:t>月</w:t>
      </w:r>
      <w:r>
        <w:rPr>
          <w:rFonts w:ascii="Tahoma" w:hAnsi="Tahoma" w:cs="Tahoma"/>
          <w:color w:val="333333"/>
        </w:rPr>
        <w:t>1</w:t>
      </w:r>
      <w:r>
        <w:rPr>
          <w:rFonts w:ascii="Tahoma" w:hAnsi="Tahoma" w:cs="Tahoma"/>
          <w:color w:val="333333"/>
        </w:rPr>
        <w:t>日前已适用简易程序审理但未审结的案件，按照一般简易程序继续审理。</w:t>
      </w:r>
    </w:p>
    <w:p w:rsidR="005E428E" w:rsidRDefault="005E428E" w:rsidP="005E428E">
      <w:pPr>
        <w:pStyle w:val="a6"/>
        <w:shd w:val="clear" w:color="auto" w:fill="FAFAFA"/>
        <w:spacing w:before="0" w:beforeAutospacing="0" w:after="450" w:afterAutospacing="0"/>
        <w:ind w:firstLine="420"/>
        <w:rPr>
          <w:rFonts w:ascii="Tahoma" w:hAnsi="Tahoma" w:cs="Tahoma"/>
          <w:color w:val="333333"/>
        </w:rPr>
      </w:pPr>
      <w:r>
        <w:rPr>
          <w:rFonts w:ascii="Tahoma" w:hAnsi="Tahoma" w:cs="Tahoma"/>
          <w:color w:val="333333"/>
        </w:rPr>
        <w:t>法律、司法解释关于小额诉讼程序有新规定的，按新规定执行。</w:t>
      </w:r>
    </w:p>
    <w:p w:rsidR="005E428E" w:rsidRDefault="005E428E"/>
    <w:sectPr w:rsidR="005E428E" w:rsidSect="003042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428E"/>
    <w:rsid w:val="0030420B"/>
    <w:rsid w:val="003D316D"/>
    <w:rsid w:val="00502924"/>
    <w:rsid w:val="0056117B"/>
    <w:rsid w:val="0059718B"/>
    <w:rsid w:val="005E428E"/>
    <w:rsid w:val="0068226F"/>
    <w:rsid w:val="00882D31"/>
    <w:rsid w:val="0092559A"/>
    <w:rsid w:val="00A574A8"/>
    <w:rsid w:val="00D130B3"/>
    <w:rsid w:val="00D34823"/>
    <w:rsid w:val="00DE30BC"/>
    <w:rsid w:val="00E73F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823"/>
    <w:pPr>
      <w:widowControl w:val="0"/>
      <w:jc w:val="both"/>
    </w:pPr>
  </w:style>
  <w:style w:type="paragraph" w:styleId="1">
    <w:name w:val="heading 1"/>
    <w:basedOn w:val="a"/>
    <w:link w:val="1Char"/>
    <w:uiPriority w:val="9"/>
    <w:qFormat/>
    <w:rsid w:val="00D3482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348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823"/>
    <w:pPr>
      <w:ind w:firstLineChars="200" w:firstLine="420"/>
    </w:pPr>
  </w:style>
  <w:style w:type="character" w:customStyle="1" w:styleId="1Char">
    <w:name w:val="标题 1 Char"/>
    <w:basedOn w:val="a0"/>
    <w:link w:val="1"/>
    <w:uiPriority w:val="9"/>
    <w:rsid w:val="00D34823"/>
    <w:rPr>
      <w:rFonts w:ascii="宋体" w:eastAsia="宋体" w:hAnsi="宋体" w:cs="宋体"/>
      <w:b/>
      <w:bCs/>
      <w:kern w:val="36"/>
      <w:sz w:val="48"/>
      <w:szCs w:val="48"/>
    </w:rPr>
  </w:style>
  <w:style w:type="character" w:customStyle="1" w:styleId="2Char">
    <w:name w:val="标题 2 Char"/>
    <w:basedOn w:val="a0"/>
    <w:link w:val="2"/>
    <w:uiPriority w:val="9"/>
    <w:rsid w:val="00D34823"/>
    <w:rPr>
      <w:rFonts w:ascii="宋体" w:eastAsia="宋体" w:hAnsi="宋体" w:cs="宋体"/>
      <w:b/>
      <w:bCs/>
      <w:kern w:val="0"/>
      <w:sz w:val="36"/>
      <w:szCs w:val="36"/>
    </w:rPr>
  </w:style>
  <w:style w:type="character" w:styleId="a4">
    <w:name w:val="Emphasis"/>
    <w:basedOn w:val="a0"/>
    <w:uiPriority w:val="20"/>
    <w:qFormat/>
    <w:rsid w:val="00D34823"/>
    <w:rPr>
      <w:i/>
      <w:iCs/>
    </w:rPr>
  </w:style>
  <w:style w:type="character" w:styleId="a5">
    <w:name w:val="Strong"/>
    <w:basedOn w:val="a0"/>
    <w:uiPriority w:val="22"/>
    <w:qFormat/>
    <w:rsid w:val="00D34823"/>
    <w:rPr>
      <w:b/>
      <w:bCs/>
    </w:rPr>
  </w:style>
  <w:style w:type="paragraph" w:styleId="a6">
    <w:name w:val="Normal (Web)"/>
    <w:basedOn w:val="a"/>
    <w:uiPriority w:val="99"/>
    <w:semiHidden/>
    <w:unhideWhenUsed/>
    <w:rsid w:val="005E428E"/>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5E428E"/>
    <w:rPr>
      <w:color w:val="0000FF"/>
      <w:u w:val="single"/>
    </w:rPr>
  </w:style>
</w:styles>
</file>

<file path=word/webSettings.xml><?xml version="1.0" encoding="utf-8"?>
<w:webSettings xmlns:r="http://schemas.openxmlformats.org/officeDocument/2006/relationships" xmlns:w="http://schemas.openxmlformats.org/wordprocessingml/2006/main">
  <w:divs>
    <w:div w:id="181968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6law.cn/laws/hunyinjiating/jiehun/fuya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66law.cn/laws/hunyinjiating/shanyang/shanyangfe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66law.cn/special/fuyangfei/" TargetMode="External"/><Relationship Id="rId11" Type="http://schemas.openxmlformats.org/officeDocument/2006/relationships/hyperlink" Target="http://www.66law.cn/special/peichangjin/" TargetMode="External"/><Relationship Id="rId5" Type="http://schemas.openxmlformats.org/officeDocument/2006/relationships/hyperlink" Target="http://www.66law.cn/topic2010/gsjkhtfb/" TargetMode="External"/><Relationship Id="rId10" Type="http://schemas.openxmlformats.org/officeDocument/2006/relationships/hyperlink" Target="http://www.66law.cn/special/rsshpc/" TargetMode="External"/><Relationship Id="rId4" Type="http://schemas.openxmlformats.org/officeDocument/2006/relationships/hyperlink" Target="http://www.66law.cn/hetongjiufen/" TargetMode="External"/><Relationship Id="rId9" Type="http://schemas.openxmlformats.org/officeDocument/2006/relationships/hyperlink" Target="http://www.66law.cn/laws/jiaotongshig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李源福</dc:creator>
  <cp:lastModifiedBy>李源福</cp:lastModifiedBy>
  <cp:revision>1</cp:revision>
  <dcterms:created xsi:type="dcterms:W3CDTF">2018-07-18T01:54:00Z</dcterms:created>
  <dcterms:modified xsi:type="dcterms:W3CDTF">2018-07-18T02:01:00Z</dcterms:modified>
</cp:coreProperties>
</file>