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14" w:rsidRPr="00592FC4" w:rsidRDefault="00166094" w:rsidP="00166094">
      <w:pPr>
        <w:jc w:val="center"/>
        <w:rPr>
          <w:rFonts w:ascii="inherit" w:hAnsi="inherit" w:hint="eastAsia"/>
          <w:b/>
          <w:color w:val="FF0000"/>
          <w:sz w:val="32"/>
          <w:szCs w:val="32"/>
        </w:rPr>
      </w:pPr>
      <w:r w:rsidRPr="00592FC4">
        <w:rPr>
          <w:rFonts w:ascii="inherit" w:hAnsi="inherit"/>
          <w:b/>
          <w:color w:val="FF0000"/>
          <w:sz w:val="32"/>
          <w:szCs w:val="32"/>
        </w:rPr>
        <w:t>中华人民共和国特种设备安全法</w:t>
      </w:r>
    </w:p>
    <w:p w:rsidR="00166094" w:rsidRPr="00166094" w:rsidRDefault="00166094" w:rsidP="00166094">
      <w:pPr>
        <w:widowControl/>
        <w:spacing w:before="150" w:after="150" w:line="360" w:lineRule="atLeast"/>
        <w:jc w:val="center"/>
        <w:rPr>
          <w:rFonts w:ascii="inherit" w:eastAsia="宋体" w:hAnsi="inherit" w:cs="宋体"/>
          <w:kern w:val="0"/>
          <w:sz w:val="24"/>
          <w:szCs w:val="24"/>
        </w:rPr>
      </w:pPr>
      <w:r w:rsidRPr="00166094">
        <w:rPr>
          <w:rFonts w:ascii="楷体_GB2312" w:eastAsia="楷体_GB2312" w:hAnsi="inherit" w:cs="宋体"/>
          <w:color w:val="000000"/>
          <w:kern w:val="0"/>
          <w:sz w:val="24"/>
          <w:szCs w:val="24"/>
        </w:rPr>
        <w:t>（２０１３年６月２９日第十二届全国人民代表大会常务委员会第三次会议通过）</w:t>
      </w:r>
    </w:p>
    <w:p w:rsidR="00166094" w:rsidRPr="00166094" w:rsidRDefault="00166094" w:rsidP="00166094">
      <w:pPr>
        <w:widowControl/>
        <w:spacing w:before="150" w:after="150" w:line="360" w:lineRule="atLeast"/>
        <w:jc w:val="center"/>
        <w:rPr>
          <w:rFonts w:ascii="inherit" w:eastAsia="宋体" w:hAnsi="inherit" w:cs="宋体"/>
          <w:kern w:val="0"/>
          <w:sz w:val="24"/>
          <w:szCs w:val="24"/>
        </w:rPr>
      </w:pPr>
      <w:r w:rsidRPr="00166094">
        <w:rPr>
          <w:rFonts w:ascii="inherit" w:eastAsia="宋体" w:hAnsi="inherit" w:cs="宋体"/>
          <w:b/>
          <w:bCs/>
          <w:kern w:val="0"/>
          <w:sz w:val="24"/>
          <w:szCs w:val="24"/>
        </w:rPr>
        <w:t>中华人民共和国主席令</w:t>
      </w:r>
      <w:bookmarkStart w:id="0" w:name="_GoBack"/>
      <w:bookmarkEnd w:id="0"/>
      <w:r w:rsidRPr="00166094">
        <w:rPr>
          <w:rFonts w:ascii="inherit" w:eastAsia="宋体" w:hAnsi="inherit" w:cs="宋体"/>
          <w:b/>
          <w:bCs/>
          <w:kern w:val="0"/>
          <w:sz w:val="24"/>
          <w:szCs w:val="24"/>
        </w:rPr>
        <w:br/>
      </w:r>
      <w:r w:rsidRPr="00166094">
        <w:rPr>
          <w:rFonts w:ascii="楷体_GB2312" w:eastAsia="楷体_GB2312" w:hAnsi="inherit" w:cs="宋体"/>
          <w:kern w:val="0"/>
          <w:sz w:val="24"/>
          <w:szCs w:val="24"/>
        </w:rPr>
        <w:t>第四号</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xml:space="preserve">　　《中华人民共和国特种设备安全法》已由中华人民共和国第十二届全国人民代表大会常务委员会第三次会议于２０１３年６月２９日通过，现予公布，自２０１４年１月１日起施行。</w:t>
      </w:r>
    </w:p>
    <w:p w:rsidR="00166094" w:rsidRPr="00166094" w:rsidRDefault="00166094" w:rsidP="00166094">
      <w:pPr>
        <w:widowControl/>
        <w:spacing w:before="150" w:after="150" w:line="360" w:lineRule="atLeast"/>
        <w:jc w:val="right"/>
        <w:rPr>
          <w:rFonts w:ascii="inherit" w:eastAsia="宋体" w:hAnsi="inherit" w:cs="宋体"/>
          <w:kern w:val="0"/>
          <w:sz w:val="24"/>
          <w:szCs w:val="24"/>
        </w:rPr>
      </w:pPr>
      <w:r w:rsidRPr="00166094">
        <w:rPr>
          <w:rFonts w:ascii="inherit" w:eastAsia="宋体" w:hAnsi="inherit" w:cs="宋体"/>
          <w:kern w:val="0"/>
          <w:sz w:val="24"/>
          <w:szCs w:val="24"/>
        </w:rPr>
        <w:t xml:space="preserve">　　　　中华人民共和国主席　习近平</w:t>
      </w:r>
    </w:p>
    <w:p w:rsidR="00166094" w:rsidRPr="00166094" w:rsidRDefault="00166094" w:rsidP="00166094">
      <w:pPr>
        <w:widowControl/>
        <w:spacing w:line="360" w:lineRule="atLeast"/>
        <w:jc w:val="right"/>
        <w:rPr>
          <w:rFonts w:ascii="inherit" w:eastAsia="宋体" w:hAnsi="inherit" w:cs="宋体"/>
          <w:kern w:val="0"/>
          <w:sz w:val="24"/>
          <w:szCs w:val="24"/>
        </w:rPr>
      </w:pPr>
      <w:r w:rsidRPr="00166094">
        <w:rPr>
          <w:rFonts w:ascii="inherit" w:eastAsia="宋体" w:hAnsi="inherit" w:cs="宋体"/>
          <w:kern w:val="0"/>
          <w:sz w:val="24"/>
          <w:szCs w:val="24"/>
        </w:rPr>
        <w:t>２０１３年６月２９日</w:t>
      </w:r>
      <w:r w:rsidRPr="00166094">
        <w:rPr>
          <w:rFonts w:ascii="inherit" w:eastAsia="宋体" w:hAnsi="inherit" w:cs="宋体"/>
          <w:kern w:val="0"/>
          <w:sz w:val="24"/>
          <w:szCs w:val="24"/>
        </w:rPr>
        <w:t> </w:t>
      </w:r>
    </w:p>
    <w:p w:rsidR="00166094" w:rsidRPr="00166094" w:rsidRDefault="00166094" w:rsidP="00166094">
      <w:pPr>
        <w:widowControl/>
        <w:spacing w:line="360" w:lineRule="atLeast"/>
        <w:jc w:val="center"/>
        <w:rPr>
          <w:rFonts w:ascii="inherit" w:eastAsia="宋体" w:hAnsi="inherit" w:cs="宋体"/>
          <w:kern w:val="0"/>
          <w:sz w:val="24"/>
          <w:szCs w:val="24"/>
        </w:rPr>
      </w:pP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目　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第一章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总则</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第二章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生产、经营、使用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第一节</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一般规定</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第二节</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生产</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第三节</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经营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第四节</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第三章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检验、检测</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第四章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监督管理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第五章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事故应急救援与调查处理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第六章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法律责任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第七章</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附则</w:t>
      </w:r>
    </w:p>
    <w:p w:rsidR="00166094" w:rsidRPr="00166094" w:rsidRDefault="00166094" w:rsidP="00592FC4">
      <w:pPr>
        <w:widowControl/>
        <w:spacing w:before="150" w:after="150" w:line="360" w:lineRule="atLeast"/>
        <w:jc w:val="center"/>
        <w:rPr>
          <w:rFonts w:ascii="inherit" w:eastAsia="宋体" w:hAnsi="inherit" w:cs="宋体"/>
          <w:kern w:val="0"/>
          <w:sz w:val="24"/>
          <w:szCs w:val="24"/>
        </w:rPr>
      </w:pPr>
      <w:r w:rsidRPr="00166094">
        <w:rPr>
          <w:rFonts w:ascii="inherit" w:eastAsia="宋体" w:hAnsi="inherit" w:cs="宋体"/>
          <w:b/>
          <w:bCs/>
          <w:kern w:val="0"/>
          <w:sz w:val="24"/>
          <w:szCs w:val="24"/>
        </w:rPr>
        <w:t>第一章</w:t>
      </w:r>
      <w:r w:rsidRPr="00166094">
        <w:rPr>
          <w:rFonts w:ascii="inherit" w:eastAsia="宋体" w:hAnsi="inherit" w:cs="宋体"/>
          <w:b/>
          <w:bCs/>
          <w:kern w:val="0"/>
          <w:sz w:val="24"/>
          <w:szCs w:val="24"/>
        </w:rPr>
        <w:t xml:space="preserve"> </w:t>
      </w:r>
      <w:r w:rsidRPr="00166094">
        <w:rPr>
          <w:rFonts w:ascii="inherit" w:eastAsia="宋体" w:hAnsi="inherit" w:cs="宋体"/>
          <w:b/>
          <w:bCs/>
          <w:kern w:val="0"/>
          <w:sz w:val="24"/>
          <w:szCs w:val="24"/>
        </w:rPr>
        <w:t>总　则</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第一条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为了加强特种设备安全工作，预防特种设备事故，保障人身和财产安全，促进经济社会发展，制定本法。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第二条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特种设备的生产（包括设计、制造、安装、改造、修理）、经营、使用、检验、检测和特种设备安全的监督管理，适用本法。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本法所称特种设备，是指对人身和财产安全有较大危险性的锅炉、压力容器（含气瓶）、压力管道、电梯、起重机械、客运索道、大型游乐设施、场（厂）内专用机动车辆，以及法律、行政法规规定适用本法的其他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国家对特种设备实行目录管理。特种设备目录由国务院负责特种设备安全监督管理的部门制定，报国务院批准后执行。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第三条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特种设备安全工作应当坚持安全第一、预防为主、节能环保、综合治理的原则。</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国家对特种设备的生产、经营、使用，实施分类的、全过程的安全监督管理。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第五条</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国务院负责特种设备安全监督管理的部门对全国特种设备安全实施监督管理。县级以上地方各级人民政府负责特种设备安全监督管理的部门对本行政区域内特种设备安全实施监督管理。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国务院和地方各级人民政府应当加强对特种设备安全工作的领导，督促各有关部门依法履行监督管理职责。</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县级以上地方各级人民政府应当建立协调机制，及时协调、解决特种设备安全监督管理中存在的问题。</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第七条特种设备生产、经营、使用单位应当遵守本法和其他有关法律、法规，建立、健全特种设备安全和节能责任制度，加强特种设备安全和节能管理，确保特种设备生产、经营、使用安全，符合节能要求。</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第八条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特种设备生产、经营、使用、检验、检测应当遵守有关特种设备安全技术规范及相关标准。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特种设备安全技术规范由国务院负责特种设备安全监督管理的部门制定。</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第九条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特种设备行业协会应当加强行业自律，推进行业诚信体系建设，提高特种设备安全管理水平。</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第十条国家支持有关特种设备安全的科学技术研究，鼓励先进技术和先进管理方法的推广应用，对做出突出贡献的单位和个人给予奖励。</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第十一条负责特种设备安全监督管理的部门应当加强特种设备安全宣传教育，普及特种设备安全知识，增强社会公众的特种设备安全意识。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第十二条任何单位和个人有权向负责特种设备安全监督管理的部门和有关部门举报涉及特种设备安全的违法行为，接到举报的部门应当及时处理。</w:t>
      </w:r>
    </w:p>
    <w:p w:rsidR="00166094" w:rsidRPr="00166094" w:rsidRDefault="00166094" w:rsidP="002F1D10">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第二章</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生产、经营、使用</w:t>
      </w:r>
    </w:p>
    <w:p w:rsidR="00166094" w:rsidRPr="00166094" w:rsidRDefault="00166094" w:rsidP="002F1D10">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第一节</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一般规定</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第十三条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特种设备生产、经营、使用单位及其主要负责人对其生产、经营、使用的特种设备安全负责。</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特种设备生产、经营、使用单位应当按照国家有关规定配备特种设备安全管理人员、检测人员和作业人员，并对其进行必要的安全教育和技能培训。</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第十五条特种设备生产、经营、使用单位对其生产、经营、使用的特种设备应当进行自行检测和维护保养，对国家规定实行检验的特种设备应当及时申报并接受检验。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十六条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国务院负责特种设备安全监督管理的部门应当将允许使用的新材料、新技术、新工艺的有关技术要求，及时纳入安全技术规范。</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第十七条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国家鼓励投保特种设备安全责任保险。</w:t>
      </w:r>
    </w:p>
    <w:p w:rsidR="00166094" w:rsidRPr="00166094" w:rsidRDefault="00166094" w:rsidP="00EF4D21">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第二节</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生产</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第十八条国家按照分类监督管理的原则对特种设备生产实行许可制度。特种设备生产单位应当具备下列条件，并</w:t>
      </w:r>
      <w:proofErr w:type="gramStart"/>
      <w:r w:rsidRPr="00166094">
        <w:rPr>
          <w:rFonts w:ascii="inherit" w:eastAsia="宋体" w:hAnsi="inherit" w:cs="宋体"/>
          <w:kern w:val="0"/>
          <w:sz w:val="24"/>
          <w:szCs w:val="24"/>
        </w:rPr>
        <w:t>经负责</w:t>
      </w:r>
      <w:proofErr w:type="gramEnd"/>
      <w:r w:rsidRPr="00166094">
        <w:rPr>
          <w:rFonts w:ascii="inherit" w:eastAsia="宋体" w:hAnsi="inherit" w:cs="宋体"/>
          <w:kern w:val="0"/>
          <w:sz w:val="24"/>
          <w:szCs w:val="24"/>
        </w:rPr>
        <w:t>特种设备安全监督管理的部门许可，方可从事生产活动：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（一）有与生产相适应的专业技术人员；</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（二）有与生产相适应的设备、设施和工作场所；</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（三）有健全的质量保证、安全管理和岗位责任等制度。</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第十九条特种设备生产单位应当保证特种设备生产符合安全技术规范及相关标准的要求，对其生产的特种设备的安全性能负责。不得生产不符合安全性能要求和能效指标以及国家明令淘汰的特种设备。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第二十条锅炉、气瓶、氧舱、客运索道、大型游乐设施的设计文件，应当</w:t>
      </w:r>
      <w:proofErr w:type="gramStart"/>
      <w:r w:rsidRPr="00166094">
        <w:rPr>
          <w:rFonts w:ascii="inherit" w:eastAsia="宋体" w:hAnsi="inherit" w:cs="宋体"/>
          <w:kern w:val="0"/>
          <w:sz w:val="24"/>
          <w:szCs w:val="24"/>
        </w:rPr>
        <w:t>经负责</w:t>
      </w:r>
      <w:proofErr w:type="gramEnd"/>
      <w:r w:rsidRPr="00166094">
        <w:rPr>
          <w:rFonts w:ascii="inherit" w:eastAsia="宋体" w:hAnsi="inherit" w:cs="宋体"/>
          <w:kern w:val="0"/>
          <w:sz w:val="24"/>
          <w:szCs w:val="24"/>
        </w:rPr>
        <w:t>特种设备安全监督管理的部门核准的检验机构鉴定，方可用于制造。</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特种设备产品、部件或者试制的特种设备新产品、新部件以及特种设备采用的新材料，按照安全技术规范的要求需要通过型式试验进行安全性验证的，应当</w:t>
      </w:r>
      <w:proofErr w:type="gramStart"/>
      <w:r w:rsidRPr="00166094">
        <w:rPr>
          <w:rFonts w:ascii="inherit" w:eastAsia="宋体" w:hAnsi="inherit" w:cs="宋体"/>
          <w:kern w:val="0"/>
          <w:sz w:val="24"/>
          <w:szCs w:val="24"/>
        </w:rPr>
        <w:t>经负责</w:t>
      </w:r>
      <w:proofErr w:type="gramEnd"/>
      <w:r w:rsidRPr="00166094">
        <w:rPr>
          <w:rFonts w:ascii="inherit" w:eastAsia="宋体" w:hAnsi="inherit" w:cs="宋体"/>
          <w:kern w:val="0"/>
          <w:sz w:val="24"/>
          <w:szCs w:val="24"/>
        </w:rPr>
        <w:t>特种设备安全监督管理的部门核准的检验机构进行型式试验。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一条特种设备出厂时，应当随附安全技术规范要求的设计文件、产品质量合格证明、安装及使用维护保养说明、监督检验证明等相关技术资料和文件，并在特种设备显著位置设置产品铭牌、安全警示标志及其说明。</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二条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第二十三条特种设备安装、改造、修理的施工单位应当在施工前将拟进行的特种设备安装、改造、修理情况书面告知直辖市或者设区的市级人民政府负责特种设备安全监督管理的部门。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第二十四条特种设备安装、改造、修理竣工后，安装、改造、修理的施工单位应当在验收后三十日内将相关技术资料和文件移交特种设备使用单位。特种设备使用单位应当将其存入该特种设备的安全技术档案。</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4D21">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第二十六条国家建立缺陷特种设备召回制度。因生产原因造成特种设备存在危及安全的同一性缺陷的，特种设备生产单位应当立即停止生产，主动召回。</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国务院负责特种设备安全监督管理的部门发现特种设备存在应当召回而未召回的情形时，应当责令特种设备生产单位召回。</w:t>
      </w:r>
    </w:p>
    <w:p w:rsidR="00166094" w:rsidRPr="00166094" w:rsidRDefault="00166094" w:rsidP="00EF4D21">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第三节</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经营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第二十七条特种设备销售单位销售的特种设备，应当符合安全技术规范及相关标准的要求，其设计文件、产品质量合格证明、安装及使用维护保养说明、监督检验证明等相关技术资料和文件应当齐全。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特种设备销售单位应当建立特种设备检查验收和销售记录制度。</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禁止销售未取得许可生产的特种设备，未经检验和检验不合格的特种设备，或者国家明令淘汰和已经报废的特种设备。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第二十八条特种设备出租单位不得出租未取得许可生产的特种设备或者国家明令淘汰和已经报废的特种设备，以及未按照安全技术规范的要求进行维护保养和未经检验或者检验不合格的特种设备。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第二十九条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特种设备在出租期间的使用管理和维护保养义务由特种设备出租单位承担，法律另有规定或者当事人另有约定的除外。</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第三十条　进口的特种设备应当符合我国安全技术规范的要求，并经检验合格；需要取得我国特种设备生产许可的，应当取得许可。</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进口特种设备随附的技术资料和文件应当符合本法第二十一条的规定，其安装及使用维护保养说明、产品铭牌、安全警示标志及其说明应当采用中文。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特种设备的进出口检验，应当遵守有关进出口商品检验的法律、行政法规。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第三十一条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进口特种设备，应当向进口地负责特种设备安全监督管理的部门履行提前告知义务。</w:t>
      </w:r>
    </w:p>
    <w:p w:rsidR="00166094" w:rsidRPr="00166094" w:rsidRDefault="00166094" w:rsidP="007B0392">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第四节</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第三十二条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特种设备使用单位应当使用取得许可生产并经检验合格的特种设备。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禁止使用国家明令淘汰和已经报废的特种设备。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第三十三条特种设备使用单位应当在特种设备投入使用前或者投入使用后三十日内，向负责特种设备安全监督管理的部门办理使用登记，取得使用登记证书。登记标志应当置于该特种设备的显著位置。</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第三十四条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特种设备使用单位应当建立岗位责任、隐患治理、应急救援等安全管理制度，制定操作规程，保证特种设备安全运行。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第三十五条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特种设备使用单位应当建立特种设备安全技术档案。安全技术档案应当包括以下内容：</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（一）特种设备的设计文件、产品质量合格证明、安装及使用维护保养说明、监督检验证明等相关技术资料和文件；</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（二）特种设备的定期检验和定期自行检查记录；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（三）特种设备的日常使用状况记录；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（四）特种设备及其附属仪器仪表的维护保养记录；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（五）特种设备的运行故障和事故记录。</w:t>
      </w:r>
    </w:p>
    <w:p w:rsidR="00166094" w:rsidRPr="00166094" w:rsidRDefault="00166094" w:rsidP="007B0392">
      <w:pPr>
        <w:widowControl/>
        <w:spacing w:before="150" w:after="150" w:line="360" w:lineRule="atLeast"/>
        <w:ind w:firstLineChars="100" w:firstLine="240"/>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第三十六条电梯、客运索道、大型游乐设施等为公众提供服务的特种设备的运营使用单位，应当对特种设备的使用安全负责，设置特种设备安全管理机构或</w:t>
      </w:r>
      <w:r w:rsidRPr="00166094">
        <w:rPr>
          <w:rFonts w:ascii="inherit" w:eastAsia="宋体" w:hAnsi="inherit" w:cs="宋体"/>
          <w:kern w:val="0"/>
          <w:sz w:val="24"/>
          <w:szCs w:val="24"/>
        </w:rPr>
        <w:lastRenderedPageBreak/>
        <w:t>者配备专职的特种设备安全管理人员；其他特种设备使用单位，应当根据情况设置特种设备安全管理机构或者配备专职、兼职的特种设备安全管理人员。</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第三十七条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特种设备的使用应当具有规定的安全距离、安全防护措施。</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7B039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与特种设备安全相关的建筑物、附属设施，应当符合有关法律、行政法规的规定。</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三十八条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第三十九条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特种设备使用单位应当对其使用的特种设备进行经常性维护保养和定期自行检查，并</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记录。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特种设备使用单位应当对其使用的特种设备的安全附件、安全保护装置进行定期校验、检修，并</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记录。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特种设备使用单位应当按照安全技术规范的要求，在检验合格有效期届满前一个月向特种设备检验机构提出定期检验要求。</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特种设备检验机构接到定期检验要求后，应当按照安全技术规范的要求及时进行安全性能检验。特种设备使用单位应当将定期检验标志置于该特种设备的显著位置。</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未经定期检验或者检验不合格的特种设备，不得继续使用。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第四十一条特种设备安全管理人员应当对特种设备使用状况进行经常性检查，发现问题应当立即处理；情况紧急时，可以决定停止使用特种设备并及时报告本单位有关负责人。</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第四十二条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特种设备出现故障或者发生异常情况，特种设备使用单位应当对其进行全面检查，消除事故隐患，方可继续使用。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第四十三条客运索道、大型游乐设施在每日投入使用前，其运营使用单位应当进行试运行和例行安全检查，并对安全附件和安全保护装置进行检查确认。</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电梯、客运索道、大型游乐设施的运营使用单位应当将电梯、客运索道、大型游乐设施的安全使用说明、安全注意事项和警示标志置于易于为乘客注意的显著位置。</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公众乘坐或者操作电梯、客运索道、大型游乐设施，应当遵守安全使用说明和安全注意事项的要求，服从有关工作人员的管理和指挥；遇有运行不正常时，应当按照安全指引，有序撤离。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第四十四条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锅炉使用单位应当按照安全技术规范的要求进行锅炉水（</w:t>
      </w:r>
      <w:proofErr w:type="gramStart"/>
      <w:r w:rsidRPr="00166094">
        <w:rPr>
          <w:rFonts w:ascii="inherit" w:eastAsia="宋体" w:hAnsi="inherit" w:cs="宋体"/>
          <w:kern w:val="0"/>
          <w:sz w:val="24"/>
          <w:szCs w:val="24"/>
        </w:rPr>
        <w:t>介</w:t>
      </w:r>
      <w:proofErr w:type="gramEnd"/>
      <w:r w:rsidRPr="00166094">
        <w:rPr>
          <w:rFonts w:ascii="inherit" w:eastAsia="宋体" w:hAnsi="inherit" w:cs="宋体"/>
          <w:kern w:val="0"/>
          <w:sz w:val="24"/>
          <w:szCs w:val="24"/>
        </w:rPr>
        <w:t>）质处理，并接受特种设备检验机构的定期检验。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从事锅炉清洗，应当按照安全技术规范的要求进行，并接受特种设备检验机构的监督检验。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第四十五条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电梯的维护保养应当由电梯制造单位或者依照本法取得许可的安装、改造、修理单位进行。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电梯的维护保养单位应当在维护保养中严格执行安全技术规范的要求，保证其维护保养的电梯的安全性能，并负责落实现场安全防护措施，保证施工安全。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电梯的维护保养单位应当对其维护保养的电梯的安全性能负责；接到故障通知后，应当立即赶赴现场，并采取必要的应急救援措施。</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六条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记录。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第四十七条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特种设备进行改造、修理，按照规定需要变更使用登记的，应当办理变更登记，方可继续使用。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第四十九条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移动式压力容器、气瓶充装单位，应当具备下列条件，并</w:t>
      </w:r>
      <w:proofErr w:type="gramStart"/>
      <w:r w:rsidRPr="00166094">
        <w:rPr>
          <w:rFonts w:ascii="inherit" w:eastAsia="宋体" w:hAnsi="inherit" w:cs="宋体"/>
          <w:kern w:val="0"/>
          <w:sz w:val="24"/>
          <w:szCs w:val="24"/>
        </w:rPr>
        <w:t>经负责</w:t>
      </w:r>
      <w:proofErr w:type="gramEnd"/>
      <w:r w:rsidRPr="00166094">
        <w:rPr>
          <w:rFonts w:ascii="inherit" w:eastAsia="宋体" w:hAnsi="inherit" w:cs="宋体"/>
          <w:kern w:val="0"/>
          <w:sz w:val="24"/>
          <w:szCs w:val="24"/>
        </w:rPr>
        <w:t>特种设备安全监督管理的部门许可，方可从事充装活动：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（一）有与充装和管理相适应的管理人员和技术人员；</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（二）有与充装和管理相适应的充装设备、检测手段、场地厂房、器具、安全设施；</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（三）有健全的充装管理制度、责任制度、处理措施。</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充装单位应当建立充装前后的检查、记录制度，禁止对不符合安全技术规范要求的移动式压力容器和气瓶进行充装。</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气瓶充装单位应当向气体使用者提供符合安全技术规范要求的气瓶，对气体使用者进行气瓶安全使用指导，并按照安全技术规范的要求办理气瓶使用登记，及时申报定期检验。</w:t>
      </w:r>
    </w:p>
    <w:p w:rsidR="00166094" w:rsidRPr="00166094" w:rsidRDefault="00166094" w:rsidP="002F1D10">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第三章</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检验、检测</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第五十条从事本法规定的监督检验、定期检验的特种设备检验机构，以及为特种设备生产、经营、使用提供检测服务的特种设备检测机构，应当具备下列条件，并</w:t>
      </w:r>
      <w:proofErr w:type="gramStart"/>
      <w:r w:rsidRPr="00166094">
        <w:rPr>
          <w:rFonts w:ascii="inherit" w:eastAsia="宋体" w:hAnsi="inherit" w:cs="宋体"/>
          <w:kern w:val="0"/>
          <w:sz w:val="24"/>
          <w:szCs w:val="24"/>
        </w:rPr>
        <w:t>经负责</w:t>
      </w:r>
      <w:proofErr w:type="gramEnd"/>
      <w:r w:rsidRPr="00166094">
        <w:rPr>
          <w:rFonts w:ascii="inherit" w:eastAsia="宋体" w:hAnsi="inherit" w:cs="宋体"/>
          <w:kern w:val="0"/>
          <w:sz w:val="24"/>
          <w:szCs w:val="24"/>
        </w:rPr>
        <w:t>特种设备安全监督管理的部门核准，方可从事检验、检测工作：</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（一）有与检验、检测工作相适应的检验、检测人员；</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（二）有与检验、检测工作相适应的检验、检测仪器和设备；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（三）有健全的检验、检测管理制度和责任制度。</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第五十一条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特种设备检验、检测机构的检验、检测人员应当经考核，取得检验、检测人员资格，方可从事检验、检测工作。</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特种设备检验、检测机构的检验、检测人员不得同时在两个以上检验、检测机构中执业；变更执业机构的，应当依法办理变更手续。</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第五十二条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特种设备检验、检测工作应当遵守法律、行政法规的规定，并按照安全技术规范的要求进行。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特种设备检验、检测机构及其检验、检测人员应当依法为特种设备生产、经营、使用单位提供安全、可靠、便捷、诚信的检验、检测服务。</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第五十三条特种设备检验、检测机构及其检验、检测人员应当客观、公正、及时地出具检验、检测报告，并对检验、检测结果和鉴定结论负责。</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特种设备检验、检测机构及其检验、检测人员在检验、检测中发现特种设备存在严重事故隐患时，应当及时告知相关单位，并立即向负责特种设备安全监督管理的部门报告。</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负责特种设备安全监督管理的部门应当组织对特种设备检验、检测机构的检验、检测结果和鉴定结论进行监督抽查，但应当防止重复抽查。监督抽查结果应当向社会公布。</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第五十四条特种设备生产、经营、使用单位应当按照安全技术规范的要求向特种设备检验、检测机构及其检验、检测人员提供特种设备相关资料和必要的检验、检测条件，并对资料的真实性负责。</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第五十五条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特种设备检验、检测机构及其检验、检测人员对检验、检测过程中知悉的商业秘密，负有保密义务。</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特种设备检验、检测机构及其检验、检测人员不得从事有关特种设备的生产、经营活动，不得推荐或者监制、监销特种设备。</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五十六条特种设备检验机构及其检验人员利用检验工作故意刁难特种设备生产、经营、使用单位的，特种设备生产、经营、使用单位有权向负责特种设备安全监督管理的部门投诉，接到投诉的部门应当及时进行调查处理。</w:t>
      </w:r>
    </w:p>
    <w:p w:rsidR="00166094" w:rsidRPr="00166094" w:rsidRDefault="00166094" w:rsidP="002F1D10">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第四章</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监督管理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第五十七条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负责特种设备安全监督管理的部门依照本法规定，对特种设备生产、经营、使用单位和检验、检测机构实施监督检查。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负责特种设备安全监督管理的部门应当对学校、幼儿园以及医院、车站、客运码头、商场、体育场馆、展览馆、公园等公众聚集场所的特种设备，实施重点安全监督检查。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第五十八条负责特种设备安全监督管理的部门实施本法规定的许可工作，应当依照本法和其他有关法律、行政法规规定的条件和程序以及安全技术规范的要求进行审查；不符合规定的，不得许可。</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第五十九条负责特种设备安全监督管理的部门在办理本法规定的许可时，其受理、审查、许可的程序必须公开，并应当自受理申请之日起三十日内，</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许可或者不予许可的决定；不予许可的，应当书面向申请人说明理由。</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第六十条负责特种设备安全监督管理的部门对依法办理使用登记的特种设备应当建立完整的监督管理档案和信息查询系统；对达到报废条件的特种设备，应当及时督促特种设备使用单位依法履行报废义务。</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第六十一条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负责特种设备安全监督管理的部门在依法履行监督检查职责时，可以行使下列职权：</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（一）进入现场进行检查，向特种设备生产、经营、使用单位和检验、检测机构的主要负责人和其他有关人员调查、了解有关情况；</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（二）根据举报或者取得的涉嫌违法证据，查阅、复制特种设备生产、经营、使用单位和检验、检测机构的有关合同、发票、账簿以及其他有关资料；</w:t>
      </w:r>
    </w:p>
    <w:p w:rsidR="00166094" w:rsidRPr="00166094" w:rsidRDefault="00166094" w:rsidP="002F1D10">
      <w:pPr>
        <w:widowControl/>
        <w:spacing w:before="150" w:after="150" w:line="360" w:lineRule="atLeast"/>
        <w:ind w:firstLineChars="200" w:firstLine="480"/>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（三）对有证据表明不符合安全技术规范要求或者存在严重事故隐患的特种设备实施查封、扣押；</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（四）对流入市场的达到报废条件或者已经报废的特种设备实施查封、扣押；</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（五）对违反本法规定的行为</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行政处罚决定。</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四条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第六十五条负责特种设备安全监督管理的部门的安全监察人员应当熟悉相关法律、法规，具有相应的专业知识和工作经验，取得特种设备安全行政执法证件。</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特种设备安全监察人员应当忠于职守、坚持原则、秉公执法。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负责特种设备安全监督管理的部门实施安全监督检查时，应当有二名以上特种设备安全监察人员参加，并出示有效的特种设备安全行政执法证件。</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第六十六条负责特种设备安全监督管理的部门对特种设备生产、经营、使用单位和检验、检测机构实施监督检查，应当对每次监督检查的内容、发现的问题及处理情况</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记录，并由参加监督检查的特种设备安全监察人员和被检查单位的有关负责人签字后归档。被检查单位的有关负责人拒绝签字的，特种设备安全监察人员应当将情况记录在案。</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第六十七条负责特种设备安全监督管理的部门及其工作人员不得推荐或者监制、监销特种设备；对履行职责过程中知悉的商业秘密负有保密义务。</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2F1D10">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第六十八条国务院负责特种设备安全监督管理的部门和省、自治区、直辖市人民政府负责特种设备安全监督管理的部门应当定期向社会公布特种设备安全总体状况。</w:t>
      </w:r>
    </w:p>
    <w:p w:rsidR="00166094" w:rsidRPr="00166094" w:rsidRDefault="00166094" w:rsidP="00EF3737">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第五章</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事故应急救援与调查处理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第六十九条国务院负责特种设备安全监督管理的部门应当依法组织制定特种设备重特大事故应急预案，报国务院批准后纳入国家突发事件应急预案体系。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县级以上地方各级人民政府及其负责特种设备安全监督管理的部门应当依法组织制定本行政区域内特种设备事故应急预案，建立或者纳入相应的应急处置与救援体系。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特种设备使用单位应当制定特种设备事故应急专项预案，并定期进行应急演练。</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七十条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与事故相关的单位和人员不得迟报、谎报或者瞒报事故情况，不得隐匿、毁灭有关证据或者故意破坏事故现场。</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第七十一条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事故发生地人民政府接到事故报告，应当依法启动应急预案，采取应急处置措施，组织应急救援。</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第七十二条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特种设备发生特别重大事故，由国务院或者国务院授权有关部门组织事故调查组进行调查。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发生重大事故，由国务院负责特种设备安全监督管理的部门会同有关部门组织事故调查组进行调查。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发生较大事故，由省、自治区、直辖市人民政府负责特种设备安全监督管理的部门会同有关部门组织事故调查组进行调查。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发生一般事故，由设区的市级人民政府负责特种设备安全监督管理的部门会同有关部门组织事故调查组进行调查。</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事故调查组应当依法、独立、公正开展调查，提出事故调查报告。</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EF37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七十三条组织事故调查的部门应当将事故调查报告报本级人民政府，并报上一级人民政府负责特种设备安全监督管理的部门备案。有关部门和单位应当依照法律、行政法规的规定，追究事故责任单位和人员的责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9328D2">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事故责任单位应当依法落实整改措施，预防同类事故发生。事故造成损害的，事故责任单位应当依法承担赔偿责任。</w:t>
      </w:r>
    </w:p>
    <w:p w:rsidR="00166094" w:rsidRPr="00166094" w:rsidRDefault="00166094" w:rsidP="00C27C37">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第六章</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法律责任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第七十五条违反本法规定，特种设备的设计文件未经鉴定，擅自用于制造的，责令改正，没收违法制造的特种设备，处五万元以上五十万元以下罚款。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第七十六条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违反本法规定，未进行型式试验的，责令限期改正；逾期未改正的，处三万元以上三十万元以下罚款。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第八十条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违反本法规定，电梯制造单位有下列情形之一的，责令限期改正；逾期未改正的，处一万元以上十万元以下罚款：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（一）未按照安全技术规范的要求对电梯进行校验、调试的；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（二）对电梯的安全运行情况进行跟踪调查和了解时，发现存在严重事故隐患，未及时告知电梯使用单位并向负责特种设备安全监督管理的部门报告的。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第八十一条违反本法规定，特种设备生产单位有下列行为之一的，责令限期改正；逾期未改正的，责令停止生产，处五万元以上五十万元以下罚款；情节严重的，吊销生产许可证：</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（一）不再具备生产条件、生产许可证已经过期或者超出许可范围生产的；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（二）明知特种设备存在同一性缺陷，未立即停止生产并召回的。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违反本法规定，特种设备生产单位生产、销售、交付国家明令淘汰的特种设备的，责令停止生产、销售，没收违法生产、销售、交付的特种设备，处三万元以上三十万元以下罚款；有违法所得的，没收违法所得。</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特种设备生产单位涂改、倒卖、出租、出借生产许可证的，责令停止生产，处五万元以上五十万元以下罚款；情节严重的，吊销生产许可证。</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第八十二条违反本法规定，特种设备经营单位有下列行为之一的，责令停止经营，没收违法经营的特种设备，处三万元以上三十万元以下罚款；有违法所得的，没收违法所得：</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（一）销售、出租未取得许可生产，未经检验或者检验不合格的特种设备的；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（二）销售、出租国家明令淘汰、已经报废的特种设备，或者未按照安全技术规范的要求进行维护保养的特种设备的。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违反本法规定，特种设备销售单位未建立检查验收和销售记录制度，或者进口特种设备未履行提前告知义务的，责令改正，处一万元以上十万元以下罚款。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特种设备生产单位销售、交付未经检验或者检验不合格的特种设备的，依照本条第一款规定处罚；情节严重的，吊销生产许可证。</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第八十三条违反本法规定，特种设备使用单位有下列行为之一的，责令限期改正；逾期未改正的，责令停止使用有关特种设备，处一万元以上十万元以下罚款：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（一）使用特种设备未按照规定办理使用登记的；</w:t>
      </w:r>
    </w:p>
    <w:p w:rsidR="00166094" w:rsidRPr="00166094" w:rsidRDefault="00166094" w:rsidP="00C27C37">
      <w:pPr>
        <w:widowControl/>
        <w:spacing w:before="150" w:after="150" w:line="360" w:lineRule="atLeast"/>
        <w:ind w:firstLineChars="100" w:firstLine="240"/>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（二）未建立特种设备安全技术档案或者安全技术档案不符合规定要求，或者未依法设置使用登记标志、定期检验标志的；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（三）未对其使用的特种设备进行经常性维护保养和定期自行检查，或者未对其使用的特种设备的安全附件、安全保护装置进行定期校验、检修，并</w:t>
      </w:r>
      <w:proofErr w:type="gramStart"/>
      <w:r w:rsidRPr="00166094">
        <w:rPr>
          <w:rFonts w:ascii="inherit" w:eastAsia="宋体" w:hAnsi="inherit" w:cs="宋体"/>
          <w:kern w:val="0"/>
          <w:sz w:val="24"/>
          <w:szCs w:val="24"/>
        </w:rPr>
        <w:t>作出</w:t>
      </w:r>
      <w:proofErr w:type="gramEnd"/>
      <w:r w:rsidRPr="00166094">
        <w:rPr>
          <w:rFonts w:ascii="inherit" w:eastAsia="宋体" w:hAnsi="inherit" w:cs="宋体"/>
          <w:kern w:val="0"/>
          <w:sz w:val="24"/>
          <w:szCs w:val="24"/>
        </w:rPr>
        <w:t>记录的；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（四）未按照安全技术规范的要求及时申报并接受检验的；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（五）未按照安全技术规范的要求进行锅炉水（</w:t>
      </w:r>
      <w:proofErr w:type="gramStart"/>
      <w:r w:rsidRPr="00166094">
        <w:rPr>
          <w:rFonts w:ascii="inherit" w:eastAsia="宋体" w:hAnsi="inherit" w:cs="宋体"/>
          <w:kern w:val="0"/>
          <w:sz w:val="24"/>
          <w:szCs w:val="24"/>
        </w:rPr>
        <w:t>介</w:t>
      </w:r>
      <w:proofErr w:type="gramEnd"/>
      <w:r w:rsidRPr="00166094">
        <w:rPr>
          <w:rFonts w:ascii="inherit" w:eastAsia="宋体" w:hAnsi="inherit" w:cs="宋体"/>
          <w:kern w:val="0"/>
          <w:sz w:val="24"/>
          <w:szCs w:val="24"/>
        </w:rPr>
        <w:t>）质处理的；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（六）未制定特种设备事故应急专项预案的。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第八十四条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违反本法规定，特种设备使用单位有下列行为之一的，责令停止使用有关特种设备，处三万元以上三十万元以下罚款：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（一）使用未取得许可生产，未经检验或者检验不合格的特种设备，或者国家明令淘汰、已经报废的特种设备的；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（二）特种设备出现故障或者发生异常情况，未对其进行全面检查、消除事故隐患，继续使用的；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（三）特种设备存在严重事故隐患，无改造、修理价值，或者达到安全技术规范规定的其他报废条件，未依法履行报废义务，并办理使用登记证书注销手续的。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第八十五条违反本法规定，移动式压力容器、气瓶充装单位有下列行为之一的，责令改正，处二万元以上二十万元以下罚款；情节严重的，吊销充装许可证：</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（一）未按照规定实施充装前后的检查、记录制度的；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（二）对不符合安全技术规范要求的移动式压力容器和气瓶进行充装的。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违反本法规定，未经许可，擅自从事移动式压力容器或者气瓶充装活动的，予以取缔，没收违法充装的气瓶，处十万元以上五十万元以下罚款；有违法所得的，没收违法所得。</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第八十六条违反本法规定，特种设备生产、经营、使用单位有下列情形之一的，责令限期改正；逾期未改正的，责令停止使用有关特种设备或者停产停业整顿，处一万元以上五万元以下罚款：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00C27C37">
        <w:rPr>
          <w:rFonts w:ascii="inherit" w:eastAsia="宋体" w:hAnsi="inherit" w:cs="宋体"/>
          <w:kern w:val="0"/>
          <w:sz w:val="24"/>
          <w:szCs w:val="24"/>
        </w:rPr>
        <w:t>  </w:t>
      </w:r>
      <w:r w:rsidRPr="00166094">
        <w:rPr>
          <w:rFonts w:ascii="inherit" w:eastAsia="宋体" w:hAnsi="inherit" w:cs="宋体"/>
          <w:kern w:val="0"/>
          <w:sz w:val="24"/>
          <w:szCs w:val="24"/>
        </w:rPr>
        <w:t>（一）未配备具有相应资格的特种设备安全管理人员、检测人员和作业人员的；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（二）使用未取得相应资格的人员从事特种设备安全管理、检测和作业的；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（三）未对特种设备安全管理人员、检测人员和作业人员进行安全教育和技能培训的。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第八十七条违反本法规定，电梯、客运索道、大型游乐设施的运营使用单位有下列情形之一的，责令限期改正；逾期未改正的，责令停止使用有关特种设备或者停产停业整顿，处二万元以上十万元以下罚款：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（一）未设置特种设备安全管理机构或者配备专职的特种设备安全管理人员的；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（二）客运索道、大型游乐设施每日投入使用前，未进行试运行和例行安全检查，未对安全附件和安全保护装置进行检查确认的；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（三）未将电梯、客运索道、大型游乐设施的安全使用说明、安全注意事项和警示标志置于易于为乘客注意的显著位置的。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第八十八条违反本法规定，未经许可，擅自从事电梯维护保养的，责令停止违法行为，处一万元以上十万元以下罚款；有违法所得的，没收违法所得。</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Pr="00166094">
        <w:rPr>
          <w:rFonts w:ascii="inherit" w:eastAsia="宋体" w:hAnsi="inherit" w:cs="宋体"/>
          <w:kern w:val="0"/>
          <w:sz w:val="24"/>
          <w:szCs w:val="24"/>
        </w:rPr>
        <w:t>电梯的维护保养单位未按照本法规定以及安全技术规范的要求，进行电梯维护保养的，依照前款规定处罚。</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第八十九条发生特种设备事故，有下列情形之一的，对单位处五万元以上二十万元以下罚款；对主要负责人处一万元以上五万元以下罚款；主要负责人属于国家工作人员的，并依法给予处分：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（一）发生特种设备事故时，</w:t>
      </w:r>
      <w:proofErr w:type="gramStart"/>
      <w:r w:rsidRPr="00166094">
        <w:rPr>
          <w:rFonts w:ascii="inherit" w:eastAsia="宋体" w:hAnsi="inherit" w:cs="宋体"/>
          <w:kern w:val="0"/>
          <w:sz w:val="24"/>
          <w:szCs w:val="24"/>
        </w:rPr>
        <w:t>不</w:t>
      </w:r>
      <w:proofErr w:type="gramEnd"/>
      <w:r w:rsidRPr="00166094">
        <w:rPr>
          <w:rFonts w:ascii="inherit" w:eastAsia="宋体" w:hAnsi="inherit" w:cs="宋体"/>
          <w:kern w:val="0"/>
          <w:sz w:val="24"/>
          <w:szCs w:val="24"/>
        </w:rPr>
        <w:t>立即组织抢救或者在事故调查处理期间擅离职守或者逃匿的；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（二）对特种设备事故迟报、谎报或者瞒报的。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发生事故，对负有责任的单位除要求其依法承担相应的赔偿等责任外，依照下列规定处以罚款：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（一）发生一般事故，处十万元以上二十万元以下罚款；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（二）发生较大事故，处二十万元以上五十万元以下罚款；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（三）发生重大事故，处五十万元以上二百万元以下罚款。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第九十一条对事故发生负有责任的单位的主要负责人未依法履行职责或者负有领导责任的，依照下列规定处以罚款；属于国家工作人员的，并依法给予处分：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（一）发生一般事故，处上一年年收入百分之三十的罚款；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（二）发生较大事故，处上一年年收入百分之四十的罚款；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（三）发生重大事故，处上一年年收入百分之六十的罚款。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第九十二条违反本法规定，特种设备安全管理人员、检测人员和作业人员不履行岗位职责，违反操作规程和有关安全规章制度，造成事故的，吊销相关人员的资格。</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三条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（一）未经核准或者超出核准范围、使用未取得相应资格的人员从事检验、检测的；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（二）未按照安全技术规范的要求进行检验、检测的；</w:t>
      </w:r>
    </w:p>
    <w:p w:rsidR="00166094" w:rsidRPr="00166094" w:rsidRDefault="00166094" w:rsidP="00C27C37">
      <w:pPr>
        <w:widowControl/>
        <w:spacing w:before="150" w:after="150" w:line="360" w:lineRule="atLeast"/>
        <w:ind w:firstLineChars="100" w:firstLine="240"/>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（三）出具虚假的检验、检测结果和鉴定结论或者检验、检测结果和鉴定结论严重失实的；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（四）发现特种设备存在严重事故隐患，未及时告知相关单位，并立即向负责特种设备安全监督管理的部门报告的；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（五）泄露检验、检测过程中知悉的商业秘密的；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（六）从事有关特种设备的生产、经营活动的；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（七）推荐或者监制、监销特种设备的；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（八）利用检验工作故意刁难相关单位的。</w:t>
      </w:r>
    </w:p>
    <w:p w:rsidR="00166094" w:rsidRPr="00166094" w:rsidRDefault="00C27C37" w:rsidP="00C27C37">
      <w:pPr>
        <w:widowControl/>
        <w:spacing w:before="150" w:after="150" w:line="360" w:lineRule="atLeast"/>
        <w:ind w:firstLineChars="200" w:firstLine="480"/>
        <w:jc w:val="left"/>
        <w:rPr>
          <w:rFonts w:ascii="inherit" w:eastAsia="宋体" w:hAnsi="inherit" w:cs="宋体"/>
          <w:kern w:val="0"/>
          <w:sz w:val="24"/>
          <w:szCs w:val="24"/>
        </w:rPr>
      </w:pPr>
      <w:r>
        <w:rPr>
          <w:rFonts w:ascii="inherit" w:eastAsia="宋体" w:hAnsi="inherit" w:cs="宋体"/>
          <w:kern w:val="0"/>
          <w:sz w:val="24"/>
          <w:szCs w:val="24"/>
        </w:rPr>
        <w:t> </w:t>
      </w:r>
      <w:r w:rsidR="00166094" w:rsidRPr="00166094">
        <w:rPr>
          <w:rFonts w:ascii="inherit" w:eastAsia="宋体" w:hAnsi="inherit" w:cs="宋体"/>
          <w:kern w:val="0"/>
          <w:sz w:val="24"/>
          <w:szCs w:val="24"/>
        </w:rPr>
        <w:t>违反本法规定，特种设备检验、检测机构的检验、检测人员同时在两个以上检验、检测机构中执业的，处五千元以上五万元以下罚款；情节严重的，吊销其资格。</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第九十四条违反本法规定，负责特种设备安全监督管理的部门及其工作人员有下列行为之一的，由上级机关责令改正；对直接负责的主管人员和其他直接责任人员，依法给予处分：</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（一）未依照法律、行政法规规定的条件、程序实施许可的；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（二）发现未经许可擅自从事特种设备的生产、使用或者检验、检测活动不予取缔或者不依法予以处理的；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（三）发现特种设备生产单位不再具备本法规定的条件而不吊销其许可证，或者发现特种设备生产、经营、使用违法行为不予查处的；</w:t>
      </w:r>
    </w:p>
    <w:p w:rsidR="00166094" w:rsidRPr="00166094" w:rsidRDefault="00166094" w:rsidP="00C27C37">
      <w:pPr>
        <w:widowControl/>
        <w:spacing w:before="150" w:after="150" w:line="360" w:lineRule="atLeast"/>
        <w:ind w:firstLineChars="100" w:firstLine="240"/>
        <w:jc w:val="left"/>
        <w:rPr>
          <w:rFonts w:ascii="inherit" w:eastAsia="宋体" w:hAnsi="inherit" w:cs="宋体"/>
          <w:kern w:val="0"/>
          <w:sz w:val="24"/>
          <w:szCs w:val="24"/>
        </w:rPr>
      </w:pPr>
      <w:r w:rsidRPr="00166094">
        <w:rPr>
          <w:rFonts w:ascii="inherit" w:eastAsia="宋体" w:hAnsi="inherit" w:cs="宋体"/>
          <w:kern w:val="0"/>
          <w:sz w:val="24"/>
          <w:szCs w:val="24"/>
        </w:rPr>
        <w:t>    </w:t>
      </w:r>
      <w:r w:rsidRPr="00166094">
        <w:rPr>
          <w:rFonts w:ascii="inherit" w:eastAsia="宋体" w:hAnsi="inherit" w:cs="宋体"/>
          <w:kern w:val="0"/>
          <w:sz w:val="24"/>
          <w:szCs w:val="24"/>
        </w:rPr>
        <w:t>（四）发现特种设备检验、检测机构不再具备本法规定的条件而不撤销其核准，或者对其出具虚假的检验、检测结果和鉴定结论或者检验、检测结果和鉴定结论严重失实的行为不予查处的；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（五）发现违反本法规定和安全技术规范要求的行为或者特种设备存在事故隐患，</w:t>
      </w:r>
      <w:proofErr w:type="gramStart"/>
      <w:r w:rsidRPr="00166094">
        <w:rPr>
          <w:rFonts w:ascii="inherit" w:eastAsia="宋体" w:hAnsi="inherit" w:cs="宋体"/>
          <w:kern w:val="0"/>
          <w:sz w:val="24"/>
          <w:szCs w:val="24"/>
        </w:rPr>
        <w:t>不</w:t>
      </w:r>
      <w:proofErr w:type="gramEnd"/>
      <w:r w:rsidRPr="00166094">
        <w:rPr>
          <w:rFonts w:ascii="inherit" w:eastAsia="宋体" w:hAnsi="inherit" w:cs="宋体"/>
          <w:kern w:val="0"/>
          <w:sz w:val="24"/>
          <w:szCs w:val="24"/>
        </w:rPr>
        <w:t>立即处理的；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C27C37">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（六）发现重大违法行为或者特种设备存在严重事故隐患，未及时向上级负责特种设备安全监督管理的部门报告，或者接到报告的负责特种设备安全监督管理的部门</w:t>
      </w:r>
      <w:proofErr w:type="gramStart"/>
      <w:r w:rsidRPr="00166094">
        <w:rPr>
          <w:rFonts w:ascii="inherit" w:eastAsia="宋体" w:hAnsi="inherit" w:cs="宋体"/>
          <w:kern w:val="0"/>
          <w:sz w:val="24"/>
          <w:szCs w:val="24"/>
        </w:rPr>
        <w:t>不</w:t>
      </w:r>
      <w:proofErr w:type="gramEnd"/>
      <w:r w:rsidRPr="00166094">
        <w:rPr>
          <w:rFonts w:ascii="inherit" w:eastAsia="宋体" w:hAnsi="inherit" w:cs="宋体"/>
          <w:kern w:val="0"/>
          <w:sz w:val="24"/>
          <w:szCs w:val="24"/>
        </w:rPr>
        <w:t>立即处理的；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（七）要求已经依照本法规定在其他地方取得许可的特种设备生产单位重复取得许可，或者要求对已经依照本法规定在其他地方检验合格的特种设备重复进行检验的；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（八）推荐或者监制、监销特种设备的；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（九）泄露履行职责过程中知悉的商业秘密的；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（十）接到特种设备事故报告未立即向本级人民政府报告，并按照规定上报的；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lastRenderedPageBreak/>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（十一）迟报、漏报、谎报或者瞒报事故的；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（十二）妨碍事故救援或者事故调查处理的；</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（十三）其他滥用职权、玩忽职守、徇私舞弊的行为。</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特种设备生产、经营、使用单位擅自动用、调换、转移、损毁被查封、扣押的特种设备或者其主要部件的，责令改正，处五万元以上二十万元以下罚款；情节严重的，吊销生产许可证，注销特种设备使用登记证书。</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第九十六条违反本法规定，被依法吊销许可证的，自吊销许可证之日起三年内，负责特种设备安全监督管理的部门不予受理其新的许可申请。</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第九十七条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违反本法规定，造成人身、财产损害的，依法承担民事责任。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违反本法规定，应当承担民事赔偿责任和缴纳罚款、罚金，其财产不足以同时支付时，先承担民事赔偿责任。</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第九十八条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违反本法规定，构成违反治安管理行为的，依法给予治安管理处罚；构成犯罪的，依法追究刑事责任。</w:t>
      </w:r>
    </w:p>
    <w:p w:rsidR="00166094" w:rsidRPr="00166094" w:rsidRDefault="00166094" w:rsidP="00592FC4">
      <w:pPr>
        <w:widowControl/>
        <w:spacing w:before="150" w:after="150" w:line="360" w:lineRule="atLeast"/>
        <w:jc w:val="center"/>
        <w:rPr>
          <w:rFonts w:ascii="inherit" w:eastAsia="宋体" w:hAnsi="inherit" w:cs="宋体"/>
          <w:b/>
          <w:kern w:val="0"/>
          <w:sz w:val="24"/>
          <w:szCs w:val="24"/>
        </w:rPr>
      </w:pPr>
      <w:r w:rsidRPr="00166094">
        <w:rPr>
          <w:rFonts w:ascii="inherit" w:eastAsia="宋体" w:hAnsi="inherit" w:cs="宋体"/>
          <w:b/>
          <w:kern w:val="0"/>
          <w:sz w:val="24"/>
          <w:szCs w:val="24"/>
        </w:rPr>
        <w:t>第七章</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附</w:t>
      </w:r>
      <w:r w:rsidRPr="00166094">
        <w:rPr>
          <w:rFonts w:ascii="inherit" w:eastAsia="宋体" w:hAnsi="inherit" w:cs="宋体"/>
          <w:b/>
          <w:kern w:val="0"/>
          <w:sz w:val="24"/>
          <w:szCs w:val="24"/>
        </w:rPr>
        <w:t xml:space="preserve"> </w:t>
      </w:r>
      <w:r w:rsidRPr="00166094">
        <w:rPr>
          <w:rFonts w:ascii="inherit" w:eastAsia="宋体" w:hAnsi="inherit" w:cs="宋体"/>
          <w:b/>
          <w:kern w:val="0"/>
          <w:sz w:val="24"/>
          <w:szCs w:val="24"/>
        </w:rPr>
        <w:t>则</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第九十九条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特种设备行政许可、检验的收费，依照法律、行政法规的规定执行。</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第一百条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军事装备、核设施、航空航天器使用的特种设备安全的监督管理不适用本法。</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rsidR="00166094" w:rsidRPr="00166094" w:rsidRDefault="00166094" w:rsidP="00166094">
      <w:pPr>
        <w:widowControl/>
        <w:spacing w:before="150" w:after="150" w:line="360" w:lineRule="atLeast"/>
        <w:jc w:val="left"/>
        <w:rPr>
          <w:rFonts w:ascii="inherit" w:eastAsia="宋体" w:hAnsi="inherit" w:cs="宋体"/>
          <w:kern w:val="0"/>
          <w:sz w:val="24"/>
          <w:szCs w:val="24"/>
        </w:rPr>
      </w:pPr>
      <w:r w:rsidRPr="00166094">
        <w:rPr>
          <w:rFonts w:ascii="inherit" w:eastAsia="宋体" w:hAnsi="inherit" w:cs="宋体"/>
          <w:kern w:val="0"/>
          <w:sz w:val="24"/>
          <w:szCs w:val="24"/>
        </w:rPr>
        <w:t>   </w:t>
      </w:r>
      <w:r w:rsidR="00592FC4">
        <w:rPr>
          <w:rFonts w:ascii="inherit" w:eastAsia="宋体" w:hAnsi="inherit" w:cs="宋体" w:hint="eastAsia"/>
          <w:kern w:val="0"/>
          <w:sz w:val="24"/>
          <w:szCs w:val="24"/>
        </w:rPr>
        <w:t xml:space="preserve">  </w:t>
      </w:r>
      <w:r w:rsidRPr="00166094">
        <w:rPr>
          <w:rFonts w:ascii="inherit" w:eastAsia="宋体" w:hAnsi="inherit" w:cs="宋体"/>
          <w:kern w:val="0"/>
          <w:sz w:val="24"/>
          <w:szCs w:val="24"/>
        </w:rPr>
        <w:t> </w:t>
      </w:r>
      <w:r w:rsidRPr="00166094">
        <w:rPr>
          <w:rFonts w:ascii="inherit" w:eastAsia="宋体" w:hAnsi="inherit" w:cs="宋体"/>
          <w:kern w:val="0"/>
          <w:sz w:val="24"/>
          <w:szCs w:val="24"/>
        </w:rPr>
        <w:t>第一百零一条</w:t>
      </w:r>
      <w:r w:rsidRPr="00166094">
        <w:rPr>
          <w:rFonts w:ascii="inherit" w:eastAsia="宋体" w:hAnsi="inherit" w:cs="宋体"/>
          <w:kern w:val="0"/>
          <w:sz w:val="24"/>
          <w:szCs w:val="24"/>
        </w:rPr>
        <w:t xml:space="preserve"> </w:t>
      </w:r>
      <w:r w:rsidRPr="00166094">
        <w:rPr>
          <w:rFonts w:ascii="inherit" w:eastAsia="宋体" w:hAnsi="inherit" w:cs="宋体"/>
          <w:kern w:val="0"/>
          <w:sz w:val="24"/>
          <w:szCs w:val="24"/>
        </w:rPr>
        <w:t>本法自２０１４年１月１日起施行。</w:t>
      </w:r>
    </w:p>
    <w:p w:rsidR="00166094" w:rsidRPr="00592FC4" w:rsidRDefault="00166094" w:rsidP="00592FC4">
      <w:pPr>
        <w:widowControl/>
        <w:spacing w:before="150" w:after="150" w:line="360" w:lineRule="atLeast"/>
        <w:jc w:val="left"/>
        <w:rPr>
          <w:rFonts w:ascii="inherit" w:eastAsia="宋体" w:hAnsi="inherit" w:cs="宋体"/>
          <w:kern w:val="0"/>
          <w:sz w:val="24"/>
          <w:szCs w:val="24"/>
        </w:rPr>
      </w:pPr>
    </w:p>
    <w:sectPr w:rsidR="00166094" w:rsidRPr="00592FC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55" w:rsidRDefault="00926E55" w:rsidP="00B2541B">
      <w:r>
        <w:separator/>
      </w:r>
    </w:p>
  </w:endnote>
  <w:endnote w:type="continuationSeparator" w:id="0">
    <w:p w:rsidR="00926E55" w:rsidRDefault="00926E55" w:rsidP="00B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55" w:rsidRDefault="00926E55" w:rsidP="00B2541B">
      <w:r>
        <w:separator/>
      </w:r>
    </w:p>
  </w:footnote>
  <w:footnote w:type="continuationSeparator" w:id="0">
    <w:p w:rsidR="00926E55" w:rsidRDefault="00926E55" w:rsidP="00B2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37372"/>
      <w:docPartObj>
        <w:docPartGallery w:val="Page Numbers (Top of Page)"/>
        <w:docPartUnique/>
      </w:docPartObj>
    </w:sdtPr>
    <w:sdtContent>
      <w:p w:rsidR="00B2541B" w:rsidRDefault="00B2541B">
        <w:pPr>
          <w:pStyle w:val="a3"/>
          <w:jc w:val="right"/>
        </w:pPr>
        <w:r>
          <w:fldChar w:fldCharType="begin"/>
        </w:r>
        <w:r>
          <w:instrText>PAGE   \* MERGEFORMAT</w:instrText>
        </w:r>
        <w:r>
          <w:fldChar w:fldCharType="separate"/>
        </w:r>
        <w:r w:rsidRPr="00B2541B">
          <w:rPr>
            <w:noProof/>
            <w:lang w:val="zh-CN"/>
          </w:rPr>
          <w:t>1</w:t>
        </w:r>
        <w:r>
          <w:fldChar w:fldCharType="end"/>
        </w:r>
      </w:p>
    </w:sdtContent>
  </w:sdt>
  <w:p w:rsidR="00B2541B" w:rsidRDefault="00B254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94"/>
    <w:rsid w:val="00166094"/>
    <w:rsid w:val="002F1D10"/>
    <w:rsid w:val="00592FC4"/>
    <w:rsid w:val="007B0392"/>
    <w:rsid w:val="008958E0"/>
    <w:rsid w:val="00926E55"/>
    <w:rsid w:val="009328D2"/>
    <w:rsid w:val="00940ADA"/>
    <w:rsid w:val="00B2541B"/>
    <w:rsid w:val="00C27C37"/>
    <w:rsid w:val="00CA6539"/>
    <w:rsid w:val="00EF3737"/>
    <w:rsid w:val="00EF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41B"/>
    <w:rPr>
      <w:sz w:val="18"/>
      <w:szCs w:val="18"/>
    </w:rPr>
  </w:style>
  <w:style w:type="paragraph" w:styleId="a4">
    <w:name w:val="footer"/>
    <w:basedOn w:val="a"/>
    <w:link w:val="Char0"/>
    <w:uiPriority w:val="99"/>
    <w:unhideWhenUsed/>
    <w:rsid w:val="00B2541B"/>
    <w:pPr>
      <w:tabs>
        <w:tab w:val="center" w:pos="4153"/>
        <w:tab w:val="right" w:pos="8306"/>
      </w:tabs>
      <w:snapToGrid w:val="0"/>
      <w:jc w:val="left"/>
    </w:pPr>
    <w:rPr>
      <w:sz w:val="18"/>
      <w:szCs w:val="18"/>
    </w:rPr>
  </w:style>
  <w:style w:type="character" w:customStyle="1" w:styleId="Char0">
    <w:name w:val="页脚 Char"/>
    <w:basedOn w:val="a0"/>
    <w:link w:val="a4"/>
    <w:uiPriority w:val="99"/>
    <w:rsid w:val="00B254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41B"/>
    <w:rPr>
      <w:sz w:val="18"/>
      <w:szCs w:val="18"/>
    </w:rPr>
  </w:style>
  <w:style w:type="paragraph" w:styleId="a4">
    <w:name w:val="footer"/>
    <w:basedOn w:val="a"/>
    <w:link w:val="Char0"/>
    <w:uiPriority w:val="99"/>
    <w:unhideWhenUsed/>
    <w:rsid w:val="00B2541B"/>
    <w:pPr>
      <w:tabs>
        <w:tab w:val="center" w:pos="4153"/>
        <w:tab w:val="right" w:pos="8306"/>
      </w:tabs>
      <w:snapToGrid w:val="0"/>
      <w:jc w:val="left"/>
    </w:pPr>
    <w:rPr>
      <w:sz w:val="18"/>
      <w:szCs w:val="18"/>
    </w:rPr>
  </w:style>
  <w:style w:type="character" w:customStyle="1" w:styleId="Char0">
    <w:name w:val="页脚 Char"/>
    <w:basedOn w:val="a0"/>
    <w:link w:val="a4"/>
    <w:uiPriority w:val="99"/>
    <w:rsid w:val="00B254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0889">
      <w:bodyDiv w:val="1"/>
      <w:marLeft w:val="0"/>
      <w:marRight w:val="0"/>
      <w:marTop w:val="0"/>
      <w:marBottom w:val="0"/>
      <w:divBdr>
        <w:top w:val="none" w:sz="0" w:space="0" w:color="auto"/>
        <w:left w:val="none" w:sz="0" w:space="0" w:color="auto"/>
        <w:bottom w:val="none" w:sz="0" w:space="0" w:color="auto"/>
        <w:right w:val="none" w:sz="0" w:space="0" w:color="auto"/>
      </w:divBdr>
      <w:divsChild>
        <w:div w:id="2016032847">
          <w:marLeft w:val="0"/>
          <w:marRight w:val="0"/>
          <w:marTop w:val="0"/>
          <w:marBottom w:val="0"/>
          <w:divBdr>
            <w:top w:val="none" w:sz="0" w:space="0" w:color="auto"/>
            <w:left w:val="none" w:sz="0" w:space="0" w:color="auto"/>
            <w:bottom w:val="none" w:sz="0" w:space="0" w:color="auto"/>
            <w:right w:val="none" w:sz="0" w:space="0" w:color="auto"/>
          </w:divBdr>
          <w:divsChild>
            <w:div w:id="1853759581">
              <w:marLeft w:val="0"/>
              <w:marRight w:val="0"/>
              <w:marTop w:val="0"/>
              <w:marBottom w:val="0"/>
              <w:divBdr>
                <w:top w:val="none" w:sz="0" w:space="0" w:color="auto"/>
                <w:left w:val="none" w:sz="0" w:space="0" w:color="auto"/>
                <w:bottom w:val="none" w:sz="0" w:space="0" w:color="auto"/>
                <w:right w:val="none" w:sz="0" w:space="0" w:color="auto"/>
              </w:divBdr>
              <w:divsChild>
                <w:div w:id="1008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17</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14</cp:revision>
  <dcterms:created xsi:type="dcterms:W3CDTF">2019-08-22T22:44:00Z</dcterms:created>
  <dcterms:modified xsi:type="dcterms:W3CDTF">2019-08-23T03:00:00Z</dcterms:modified>
</cp:coreProperties>
</file>