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64" w:rsidRPr="00300484" w:rsidRDefault="001E0964" w:rsidP="001E0964">
      <w:pPr>
        <w:pStyle w:val="a3"/>
        <w:shd w:val="clear" w:color="auto" w:fill="FFFFFF"/>
        <w:spacing w:before="330" w:beforeAutospacing="0" w:after="330" w:afterAutospacing="0" w:line="480" w:lineRule="atLeast"/>
        <w:jc w:val="center"/>
        <w:rPr>
          <w:color w:val="333333"/>
          <w:sz w:val="36"/>
          <w:szCs w:val="36"/>
        </w:rPr>
      </w:pPr>
      <w:bookmarkStart w:id="0" w:name="_GoBack"/>
      <w:r w:rsidRPr="00300484">
        <w:rPr>
          <w:rStyle w:val="a4"/>
          <w:rFonts w:hint="eastAsia"/>
          <w:color w:val="333333"/>
          <w:sz w:val="36"/>
          <w:szCs w:val="36"/>
        </w:rPr>
        <w:t>关于支持科技成果出资入股确认股权的指导意见</w:t>
      </w:r>
    </w:p>
    <w:bookmarkEnd w:id="0"/>
    <w:p w:rsidR="001E0964" w:rsidRDefault="001E0964" w:rsidP="001E0964">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为了贯彻全国科技创新大会精神，落实中共中央、国务院《关于深化科技体制改革加快国家创新体系建设的意见》，进一步发挥资本市场的资源配置功能，促进科技成果出资入股，建立资本市场推动企业科技创新的长效机制，支持实体经济发展和企业提高科技创新能力，现就进一步优化科技成果出资入股，依法确认股权的相关制度安排提出以下指导意见。</w:t>
      </w:r>
    </w:p>
    <w:p w:rsidR="001E0964" w:rsidRDefault="001E0964" w:rsidP="001E0964">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w:t>
      </w:r>
      <w:r>
        <w:rPr>
          <w:rStyle w:val="a4"/>
          <w:rFonts w:hint="eastAsia"/>
          <w:color w:val="333333"/>
        </w:rPr>
        <w:t xml:space="preserve">　一、鼓励以科技成果出资入股确认股权。</w:t>
      </w:r>
      <w:r>
        <w:rPr>
          <w:rFonts w:hint="eastAsia"/>
          <w:color w:val="333333"/>
        </w:rPr>
        <w:t>以科技成果出资入股的，支持在企业创立之初，通过发起人协议、投资协议或公司章程等形式对科技成果的权属、评估作价、折股数量和比例等事项</w:t>
      </w:r>
      <w:proofErr w:type="gramStart"/>
      <w:r>
        <w:rPr>
          <w:rFonts w:hint="eastAsia"/>
          <w:color w:val="333333"/>
        </w:rPr>
        <w:t>作出</w:t>
      </w:r>
      <w:proofErr w:type="gramEnd"/>
      <w:r>
        <w:rPr>
          <w:rFonts w:hint="eastAsia"/>
          <w:color w:val="333333"/>
        </w:rPr>
        <w:t>明确约定，形成明晰的产权，避免今后发生纠纷，影响企业发行上市或挂牌转让。按照《公司法》的相关规定，包括科技成果在内的无形资产占注册资本的比例可达到70%。</w:t>
      </w:r>
    </w:p>
    <w:p w:rsidR="001E0964" w:rsidRDefault="001E0964" w:rsidP="001E0964">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w:t>
      </w:r>
      <w:r>
        <w:rPr>
          <w:rStyle w:val="a4"/>
          <w:rFonts w:hint="eastAsia"/>
          <w:color w:val="333333"/>
        </w:rPr>
        <w:t xml:space="preserve">　二、鼓励企业明确科技人员在科技成果中享有的权益，依法确认股权。</w:t>
      </w:r>
      <w:r>
        <w:rPr>
          <w:rFonts w:hint="eastAsia"/>
          <w:color w:val="333333"/>
        </w:rPr>
        <w:t>支持企业根据《科学技术进步法》、《促进科技成果转化法》、《专利法》和《专利法实施细则》等相关法律法规的规定，在相关的职务发明合同中约定科技人员在职务发明中享有的权益，并依法确认科技人员在企业中的股权。</w:t>
      </w:r>
    </w:p>
    <w:p w:rsidR="001E0964" w:rsidRDefault="001E0964" w:rsidP="001E0964">
      <w:pPr>
        <w:pStyle w:val="a3"/>
        <w:shd w:val="clear" w:color="auto" w:fill="FFFFFF"/>
        <w:spacing w:before="330" w:beforeAutospacing="0" w:after="330" w:afterAutospacing="0" w:line="480" w:lineRule="atLeast"/>
        <w:rPr>
          <w:color w:val="333333"/>
        </w:rPr>
      </w:pPr>
      <w:r>
        <w:rPr>
          <w:rFonts w:hint="eastAsia"/>
          <w:color w:val="333333"/>
        </w:rPr>
        <w:t xml:space="preserve">　</w:t>
      </w:r>
      <w:r>
        <w:rPr>
          <w:rStyle w:val="a4"/>
          <w:rFonts w:hint="eastAsia"/>
          <w:color w:val="333333"/>
        </w:rPr>
        <w:t xml:space="preserve">　三、落实北京中关村等园区先行先试政策，采取多种方式合理确认股权。</w:t>
      </w:r>
      <w:r>
        <w:rPr>
          <w:rFonts w:hint="eastAsia"/>
          <w:color w:val="333333"/>
        </w:rPr>
        <w:t>支持北京中关村、上海张江、武汉东湖国家自主创新示范区和安徽合</w:t>
      </w:r>
      <w:proofErr w:type="gramStart"/>
      <w:r>
        <w:rPr>
          <w:rFonts w:hint="eastAsia"/>
          <w:color w:val="333333"/>
        </w:rPr>
        <w:t>芜</w:t>
      </w:r>
      <w:proofErr w:type="gramEnd"/>
      <w:r>
        <w:rPr>
          <w:rFonts w:hint="eastAsia"/>
          <w:color w:val="333333"/>
        </w:rPr>
        <w:t>蚌自主创新综合试验区内的企业、高等院校及科研院所按照依据国家法律法规制定的先行先</w:t>
      </w:r>
      <w:proofErr w:type="gramStart"/>
      <w:r>
        <w:rPr>
          <w:rFonts w:hint="eastAsia"/>
          <w:color w:val="333333"/>
        </w:rPr>
        <w:t>试政策</w:t>
      </w:r>
      <w:proofErr w:type="gramEnd"/>
      <w:r>
        <w:rPr>
          <w:rFonts w:hint="eastAsia"/>
          <w:color w:val="333333"/>
        </w:rPr>
        <w:t>进行股权和分红权激励，对做出突出贡献的科技人员和经营管理人员所实施的技术入股、股权奖励、分红权等，以合理的方式确认其在企业中的股权。</w:t>
      </w:r>
    </w:p>
    <w:p w:rsidR="001E0964" w:rsidRDefault="001E0964" w:rsidP="001E0964">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w:t>
      </w:r>
      <w:r>
        <w:rPr>
          <w:rStyle w:val="a4"/>
          <w:rFonts w:hint="eastAsia"/>
          <w:color w:val="333333"/>
        </w:rPr>
        <w:t>四、进一步深化发行审核机制改革，对科技成果形成的股权予以审核确认。</w:t>
      </w:r>
      <w:r>
        <w:rPr>
          <w:rFonts w:hint="eastAsia"/>
          <w:color w:val="333333"/>
        </w:rPr>
        <w:t>对于企业在股权形成及演变过程中存在的审批或者备案手续方面的瑕疵，中国证监会本着重要性原则处理。涉及的股权占比较低、不影响公司控制权稳定且没有</w:t>
      </w:r>
      <w:r>
        <w:rPr>
          <w:rFonts w:hint="eastAsia"/>
          <w:color w:val="333333"/>
        </w:rPr>
        <w:lastRenderedPageBreak/>
        <w:t>重大风险隐患的，在做充分的信息披露并说明出现股权纠纷时的解决机制的情况下，将不再要求企业在上市前补办相关确认手续。</w:t>
      </w:r>
    </w:p>
    <w:p w:rsidR="007C3043" w:rsidRPr="001E0964" w:rsidRDefault="007C3043"/>
    <w:sectPr w:rsidR="007C3043" w:rsidRPr="001E096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C7" w:rsidRDefault="00511FC7" w:rsidP="00300484">
      <w:r>
        <w:separator/>
      </w:r>
    </w:p>
  </w:endnote>
  <w:endnote w:type="continuationSeparator" w:id="0">
    <w:p w:rsidR="00511FC7" w:rsidRDefault="00511FC7" w:rsidP="0030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056990"/>
      <w:docPartObj>
        <w:docPartGallery w:val="Page Numbers (Bottom of Page)"/>
        <w:docPartUnique/>
      </w:docPartObj>
    </w:sdtPr>
    <w:sdtContent>
      <w:p w:rsidR="00300484" w:rsidRDefault="00300484">
        <w:pPr>
          <w:pStyle w:val="a6"/>
          <w:jc w:val="right"/>
        </w:pPr>
        <w:r>
          <w:fldChar w:fldCharType="begin"/>
        </w:r>
        <w:r>
          <w:instrText>PAGE   \* MERGEFORMAT</w:instrText>
        </w:r>
        <w:r>
          <w:fldChar w:fldCharType="separate"/>
        </w:r>
        <w:r w:rsidRPr="00300484">
          <w:rPr>
            <w:noProof/>
            <w:lang w:val="zh-CN"/>
          </w:rPr>
          <w:t>2</w:t>
        </w:r>
        <w:r>
          <w:fldChar w:fldCharType="end"/>
        </w:r>
      </w:p>
    </w:sdtContent>
  </w:sdt>
  <w:p w:rsidR="00300484" w:rsidRDefault="003004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C7" w:rsidRDefault="00511FC7" w:rsidP="00300484">
      <w:r>
        <w:separator/>
      </w:r>
    </w:p>
  </w:footnote>
  <w:footnote w:type="continuationSeparator" w:id="0">
    <w:p w:rsidR="00511FC7" w:rsidRDefault="00511FC7" w:rsidP="00300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64"/>
    <w:rsid w:val="001E0964"/>
    <w:rsid w:val="00300484"/>
    <w:rsid w:val="00511FC7"/>
    <w:rsid w:val="007C3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9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0964"/>
    <w:rPr>
      <w:b/>
      <w:bCs/>
    </w:rPr>
  </w:style>
  <w:style w:type="paragraph" w:styleId="a5">
    <w:name w:val="header"/>
    <w:basedOn w:val="a"/>
    <w:link w:val="Char"/>
    <w:uiPriority w:val="99"/>
    <w:unhideWhenUsed/>
    <w:rsid w:val="003004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00484"/>
    <w:rPr>
      <w:sz w:val="18"/>
      <w:szCs w:val="18"/>
    </w:rPr>
  </w:style>
  <w:style w:type="paragraph" w:styleId="a6">
    <w:name w:val="footer"/>
    <w:basedOn w:val="a"/>
    <w:link w:val="Char0"/>
    <w:uiPriority w:val="99"/>
    <w:unhideWhenUsed/>
    <w:rsid w:val="00300484"/>
    <w:pPr>
      <w:tabs>
        <w:tab w:val="center" w:pos="4153"/>
        <w:tab w:val="right" w:pos="8306"/>
      </w:tabs>
      <w:snapToGrid w:val="0"/>
      <w:jc w:val="left"/>
    </w:pPr>
    <w:rPr>
      <w:sz w:val="18"/>
      <w:szCs w:val="18"/>
    </w:rPr>
  </w:style>
  <w:style w:type="character" w:customStyle="1" w:styleId="Char0">
    <w:name w:val="页脚 Char"/>
    <w:basedOn w:val="a0"/>
    <w:link w:val="a6"/>
    <w:uiPriority w:val="99"/>
    <w:rsid w:val="003004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9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0964"/>
    <w:rPr>
      <w:b/>
      <w:bCs/>
    </w:rPr>
  </w:style>
  <w:style w:type="paragraph" w:styleId="a5">
    <w:name w:val="header"/>
    <w:basedOn w:val="a"/>
    <w:link w:val="Char"/>
    <w:uiPriority w:val="99"/>
    <w:unhideWhenUsed/>
    <w:rsid w:val="003004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00484"/>
    <w:rPr>
      <w:sz w:val="18"/>
      <w:szCs w:val="18"/>
    </w:rPr>
  </w:style>
  <w:style w:type="paragraph" w:styleId="a6">
    <w:name w:val="footer"/>
    <w:basedOn w:val="a"/>
    <w:link w:val="Char0"/>
    <w:uiPriority w:val="99"/>
    <w:unhideWhenUsed/>
    <w:rsid w:val="00300484"/>
    <w:pPr>
      <w:tabs>
        <w:tab w:val="center" w:pos="4153"/>
        <w:tab w:val="right" w:pos="8306"/>
      </w:tabs>
      <w:snapToGrid w:val="0"/>
      <w:jc w:val="left"/>
    </w:pPr>
    <w:rPr>
      <w:sz w:val="18"/>
      <w:szCs w:val="18"/>
    </w:rPr>
  </w:style>
  <w:style w:type="character" w:customStyle="1" w:styleId="Char0">
    <w:name w:val="页脚 Char"/>
    <w:basedOn w:val="a0"/>
    <w:link w:val="a6"/>
    <w:uiPriority w:val="99"/>
    <w:rsid w:val="003004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81221">
      <w:bodyDiv w:val="1"/>
      <w:marLeft w:val="0"/>
      <w:marRight w:val="0"/>
      <w:marTop w:val="0"/>
      <w:marBottom w:val="0"/>
      <w:divBdr>
        <w:top w:val="none" w:sz="0" w:space="0" w:color="auto"/>
        <w:left w:val="none" w:sz="0" w:space="0" w:color="auto"/>
        <w:bottom w:val="none" w:sz="0" w:space="0" w:color="auto"/>
        <w:right w:val="none" w:sz="0" w:space="0" w:color="auto"/>
      </w:divBdr>
    </w:div>
    <w:div w:id="20311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1</cp:revision>
  <dcterms:created xsi:type="dcterms:W3CDTF">2021-11-10T09:03:00Z</dcterms:created>
  <dcterms:modified xsi:type="dcterms:W3CDTF">2021-11-10T09:19:00Z</dcterms:modified>
</cp:coreProperties>
</file>